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ECBBC" w14:textId="77777777" w:rsidR="00245200" w:rsidRPr="005405A4" w:rsidRDefault="00245200" w:rsidP="005405A4">
      <w:pPr>
        <w:rPr>
          <w:rFonts w:ascii="Arial" w:hAnsi="Arial" w:cs="Arial"/>
          <w:i/>
          <w:iCs/>
          <w:color w:val="808080" w:themeColor="background1" w:themeShade="80"/>
          <w:sz w:val="24"/>
          <w:szCs w:val="24"/>
          <w:shd w:val="clear" w:color="auto" w:fill="FFFFFF"/>
        </w:rPr>
      </w:pPr>
    </w:p>
    <w:p w14:paraId="6EFD649F" w14:textId="439E31F1" w:rsidR="00781A83" w:rsidRPr="00955475" w:rsidRDefault="00781A83" w:rsidP="00F23750">
      <w:pPr>
        <w:pStyle w:val="Ttulo1"/>
        <w:spacing w:before="0" w:line="360" w:lineRule="auto"/>
        <w:rPr>
          <w:rFonts w:ascii="Arial" w:hAnsi="Arial" w:cs="Arial"/>
          <w:b/>
          <w:bCs/>
          <w:sz w:val="24"/>
          <w:szCs w:val="24"/>
          <w:shd w:val="clear" w:color="auto" w:fill="FFFFFF"/>
        </w:rPr>
      </w:pPr>
      <w:r w:rsidRPr="00955475">
        <w:rPr>
          <w:rFonts w:ascii="Arial" w:hAnsi="Arial" w:cs="Arial"/>
          <w:b/>
          <w:bCs/>
          <w:sz w:val="24"/>
          <w:szCs w:val="24"/>
          <w:shd w:val="clear" w:color="auto" w:fill="FFFFFF"/>
        </w:rPr>
        <w:t>OBJETIVO</w:t>
      </w:r>
    </w:p>
    <w:p w14:paraId="1AFAF503" w14:textId="1F265F07" w:rsidR="00F82D24" w:rsidRDefault="00895D93" w:rsidP="005405A4">
      <w:pPr>
        <w:rPr>
          <w:rFonts w:ascii="Arial" w:hAnsi="Arial" w:cs="Arial"/>
          <w:color w:val="000000" w:themeColor="text1"/>
          <w:sz w:val="24"/>
          <w:szCs w:val="24"/>
          <w:shd w:val="clear" w:color="auto" w:fill="FFFFFF"/>
        </w:rPr>
      </w:pPr>
      <w:r w:rsidRPr="00895D93">
        <w:rPr>
          <w:rFonts w:ascii="Arial" w:hAnsi="Arial" w:cs="Arial"/>
          <w:color w:val="000000" w:themeColor="text1"/>
          <w:sz w:val="24"/>
          <w:szCs w:val="24"/>
          <w:shd w:val="clear" w:color="auto" w:fill="FFFFFF"/>
        </w:rPr>
        <w:t xml:space="preserve">Definir las actividades para </w:t>
      </w:r>
      <w:r w:rsidR="009A1764">
        <w:rPr>
          <w:rFonts w:ascii="Arial" w:hAnsi="Arial" w:cs="Arial"/>
          <w:color w:val="000000" w:themeColor="text1"/>
          <w:sz w:val="24"/>
          <w:szCs w:val="24"/>
          <w:shd w:val="clear" w:color="auto" w:fill="FFFFFF"/>
        </w:rPr>
        <w:t>s</w:t>
      </w:r>
      <w:r w:rsidR="009A1764" w:rsidRPr="009A1764">
        <w:rPr>
          <w:rFonts w:ascii="Arial" w:hAnsi="Arial" w:cs="Arial"/>
          <w:color w:val="000000" w:themeColor="text1"/>
          <w:sz w:val="24"/>
          <w:szCs w:val="24"/>
          <w:shd w:val="clear" w:color="auto" w:fill="FFFFFF"/>
        </w:rPr>
        <w:t xml:space="preserve">istematizar y registrar normas y jurisprudencia y emitir boletines jurídicos </w:t>
      </w:r>
      <w:r w:rsidRPr="00895D93">
        <w:rPr>
          <w:rFonts w:ascii="Arial" w:hAnsi="Arial" w:cs="Arial"/>
          <w:color w:val="000000" w:themeColor="text1"/>
          <w:sz w:val="24"/>
          <w:szCs w:val="24"/>
          <w:shd w:val="clear" w:color="auto" w:fill="FFFFFF"/>
        </w:rPr>
        <w:t>para generar valor público y contribuir a la legalidad, transparencia e integridad en el desempeño de las funciones de la entidad. </w:t>
      </w:r>
    </w:p>
    <w:p w14:paraId="0649F4C5" w14:textId="77777777" w:rsidR="00AC2B97" w:rsidRDefault="00AC2B97" w:rsidP="005405A4">
      <w:pPr>
        <w:rPr>
          <w:rFonts w:ascii="Arial" w:hAnsi="Arial" w:cs="Arial"/>
          <w:color w:val="000000" w:themeColor="text1"/>
          <w:sz w:val="24"/>
          <w:szCs w:val="24"/>
          <w:shd w:val="clear" w:color="auto" w:fill="FFFFFF"/>
        </w:rPr>
      </w:pPr>
    </w:p>
    <w:p w14:paraId="28CCD844" w14:textId="7999C3D7" w:rsidR="00780F20" w:rsidRPr="00C731DC" w:rsidRDefault="00780F20" w:rsidP="00F23750">
      <w:pPr>
        <w:pStyle w:val="Ttulo1"/>
        <w:spacing w:before="0" w:line="360" w:lineRule="auto"/>
        <w:rPr>
          <w:rFonts w:ascii="Arial" w:hAnsi="Arial" w:cs="Arial"/>
          <w:b/>
          <w:bCs/>
          <w:sz w:val="24"/>
          <w:szCs w:val="24"/>
          <w:shd w:val="clear" w:color="auto" w:fill="FFFFFF"/>
        </w:rPr>
      </w:pPr>
      <w:r w:rsidRPr="00C731DC">
        <w:rPr>
          <w:rFonts w:ascii="Arial" w:hAnsi="Arial" w:cs="Arial"/>
          <w:b/>
          <w:bCs/>
          <w:sz w:val="24"/>
          <w:szCs w:val="24"/>
          <w:shd w:val="clear" w:color="auto" w:fill="FFFFFF"/>
        </w:rPr>
        <w:t>ALCANCE </w:t>
      </w:r>
    </w:p>
    <w:p w14:paraId="0A9F3AFC" w14:textId="25224AE8" w:rsidR="009A1764" w:rsidRPr="009A1764" w:rsidRDefault="000C3B29" w:rsidP="009A1764">
      <w:pPr>
        <w:rPr>
          <w:rFonts w:ascii="Arial" w:hAnsi="Arial" w:cs="Arial"/>
          <w:color w:val="000000" w:themeColor="text1"/>
          <w:sz w:val="24"/>
          <w:szCs w:val="24"/>
          <w:shd w:val="clear" w:color="auto" w:fill="FFFFFF"/>
        </w:rPr>
      </w:pPr>
      <w:r w:rsidRPr="000C3B29">
        <w:rPr>
          <w:rFonts w:ascii="Arial" w:hAnsi="Arial" w:cs="Arial"/>
          <w:color w:val="000000" w:themeColor="text1"/>
          <w:sz w:val="24"/>
          <w:szCs w:val="24"/>
          <w:shd w:val="clear" w:color="auto" w:fill="FFFFFF"/>
        </w:rPr>
        <w:t xml:space="preserve">Inicia con </w:t>
      </w:r>
      <w:r w:rsidR="009A1764">
        <w:rPr>
          <w:rFonts w:ascii="Arial" w:hAnsi="Arial" w:cs="Arial"/>
          <w:color w:val="000000" w:themeColor="text1"/>
          <w:sz w:val="24"/>
          <w:szCs w:val="24"/>
          <w:shd w:val="clear" w:color="auto" w:fill="FFFFFF"/>
        </w:rPr>
        <w:t>p</w:t>
      </w:r>
      <w:r w:rsidR="009A1764" w:rsidRPr="009A1764">
        <w:rPr>
          <w:rFonts w:ascii="Arial" w:hAnsi="Arial" w:cs="Arial"/>
          <w:color w:val="000000" w:themeColor="text1"/>
          <w:sz w:val="24"/>
          <w:szCs w:val="24"/>
          <w:shd w:val="clear" w:color="auto" w:fill="FFFFFF"/>
        </w:rPr>
        <w:t xml:space="preserve">reparar boletín jurídico </w:t>
      </w:r>
      <w:r w:rsidRPr="000C3B29">
        <w:rPr>
          <w:rFonts w:ascii="Arial" w:hAnsi="Arial" w:cs="Arial"/>
          <w:color w:val="000000" w:themeColor="text1"/>
          <w:sz w:val="24"/>
          <w:szCs w:val="24"/>
          <w:shd w:val="clear" w:color="auto" w:fill="FFFFFF"/>
        </w:rPr>
        <w:t xml:space="preserve">y finaliza con </w:t>
      </w:r>
      <w:r w:rsidR="009A1764">
        <w:rPr>
          <w:rFonts w:ascii="Arial" w:hAnsi="Arial" w:cs="Arial"/>
          <w:color w:val="000000" w:themeColor="text1"/>
          <w:sz w:val="24"/>
          <w:szCs w:val="24"/>
          <w:shd w:val="clear" w:color="auto" w:fill="FFFFFF"/>
        </w:rPr>
        <w:t>r</w:t>
      </w:r>
      <w:r w:rsidR="009A1764" w:rsidRPr="009A1764">
        <w:rPr>
          <w:rFonts w:ascii="Arial" w:hAnsi="Arial" w:cs="Arial"/>
          <w:color w:val="000000" w:themeColor="text1"/>
          <w:sz w:val="24"/>
          <w:szCs w:val="24"/>
          <w:shd w:val="clear" w:color="auto" w:fill="FFFFFF"/>
        </w:rPr>
        <w:t>egistrar y sistematizar normas y jurisprudencia</w:t>
      </w:r>
      <w:r w:rsidR="009A1764">
        <w:rPr>
          <w:rFonts w:ascii="Arial" w:hAnsi="Arial" w:cs="Arial"/>
          <w:color w:val="000000" w:themeColor="text1"/>
          <w:sz w:val="24"/>
          <w:szCs w:val="24"/>
          <w:shd w:val="clear" w:color="auto" w:fill="FFFFFF"/>
        </w:rPr>
        <w:t>.</w:t>
      </w:r>
      <w:r w:rsidR="009A1764" w:rsidRPr="009A1764">
        <w:rPr>
          <w:rFonts w:ascii="Arial" w:hAnsi="Arial" w:cs="Arial"/>
          <w:color w:val="000000" w:themeColor="text1"/>
          <w:sz w:val="24"/>
          <w:szCs w:val="24"/>
          <w:shd w:val="clear" w:color="auto" w:fill="FFFFFF"/>
        </w:rPr>
        <w:t xml:space="preserve"> </w:t>
      </w:r>
    </w:p>
    <w:p w14:paraId="4208A1EE" w14:textId="19A68EDF" w:rsidR="00AC2B97" w:rsidRPr="005405A4" w:rsidRDefault="00AC2B97" w:rsidP="005405A4">
      <w:pPr>
        <w:rPr>
          <w:rFonts w:ascii="Arial" w:hAnsi="Arial" w:cs="Arial"/>
          <w:i/>
          <w:iCs/>
          <w:color w:val="808080" w:themeColor="background1" w:themeShade="80"/>
          <w:sz w:val="24"/>
          <w:szCs w:val="24"/>
          <w:shd w:val="clear" w:color="auto" w:fill="FFFFFF"/>
        </w:rPr>
      </w:pPr>
    </w:p>
    <w:p w14:paraId="58715370" w14:textId="4D8548F9" w:rsidR="00781A83" w:rsidRPr="00955475" w:rsidRDefault="00781A83" w:rsidP="00F23750">
      <w:pPr>
        <w:pStyle w:val="Ttulo1"/>
        <w:spacing w:before="0" w:line="360" w:lineRule="auto"/>
        <w:rPr>
          <w:rFonts w:ascii="Arial" w:hAnsi="Arial" w:cs="Arial"/>
          <w:b/>
          <w:bCs/>
          <w:sz w:val="24"/>
          <w:szCs w:val="24"/>
          <w:shd w:val="clear" w:color="auto" w:fill="FFFFFF"/>
        </w:rPr>
      </w:pPr>
      <w:r w:rsidRPr="00955475">
        <w:rPr>
          <w:rFonts w:ascii="Arial" w:hAnsi="Arial" w:cs="Arial"/>
          <w:b/>
          <w:bCs/>
          <w:sz w:val="24"/>
          <w:szCs w:val="24"/>
          <w:shd w:val="clear" w:color="auto" w:fill="FFFFFF"/>
        </w:rPr>
        <w:t>DEFINICIONES</w:t>
      </w:r>
    </w:p>
    <w:p w14:paraId="2D716606" w14:textId="77777777" w:rsidR="00DF7D87" w:rsidRPr="006B7F6A" w:rsidRDefault="00DF7D87" w:rsidP="00DF7D87">
      <w:pPr>
        <w:spacing w:after="0" w:line="360" w:lineRule="auto"/>
        <w:rPr>
          <w:rFonts w:ascii="Arial" w:hAnsi="Arial" w:cs="Arial"/>
          <w:color w:val="000000" w:themeColor="text1"/>
          <w:sz w:val="24"/>
          <w:szCs w:val="24"/>
          <w:shd w:val="clear" w:color="auto" w:fill="FFFFFF"/>
        </w:rPr>
      </w:pPr>
      <w:r w:rsidRPr="006B7F6A">
        <w:rPr>
          <w:rFonts w:ascii="Arial" w:hAnsi="Arial" w:cs="Arial"/>
          <w:color w:val="000000" w:themeColor="text1"/>
          <w:sz w:val="24"/>
          <w:szCs w:val="24"/>
          <w:shd w:val="clear" w:color="auto" w:fill="FFFFFF"/>
        </w:rPr>
        <w:t>Sin definir</w:t>
      </w:r>
    </w:p>
    <w:p w14:paraId="0B91FC64" w14:textId="77777777" w:rsidR="008914B1" w:rsidRPr="005405A4" w:rsidRDefault="008914B1" w:rsidP="005405A4">
      <w:pPr>
        <w:rPr>
          <w:rFonts w:ascii="Arial" w:hAnsi="Arial" w:cs="Arial"/>
          <w:i/>
          <w:iCs/>
          <w:color w:val="808080" w:themeColor="background1" w:themeShade="80"/>
          <w:sz w:val="24"/>
          <w:szCs w:val="24"/>
          <w:shd w:val="clear" w:color="auto" w:fill="FFFFFF"/>
        </w:rPr>
      </w:pPr>
    </w:p>
    <w:p w14:paraId="09BC5220" w14:textId="105E4537" w:rsidR="005129B1" w:rsidRPr="00955475" w:rsidRDefault="005129B1" w:rsidP="00F23750">
      <w:pPr>
        <w:pStyle w:val="Ttulo1"/>
        <w:spacing w:before="0" w:line="360" w:lineRule="auto"/>
        <w:rPr>
          <w:rFonts w:ascii="Arial" w:hAnsi="Arial" w:cs="Arial"/>
          <w:b/>
          <w:bCs/>
          <w:sz w:val="24"/>
          <w:szCs w:val="24"/>
          <w:shd w:val="clear" w:color="auto" w:fill="FFFFFF"/>
        </w:rPr>
      </w:pPr>
      <w:r w:rsidRPr="00955475">
        <w:rPr>
          <w:rFonts w:ascii="Arial" w:hAnsi="Arial" w:cs="Arial"/>
          <w:b/>
          <w:bCs/>
          <w:sz w:val="24"/>
          <w:szCs w:val="24"/>
          <w:shd w:val="clear" w:color="auto" w:fill="FFFFFF"/>
        </w:rPr>
        <w:t>ABREVIATURAS</w:t>
      </w:r>
    </w:p>
    <w:p w14:paraId="0B51190A" w14:textId="77777777" w:rsidR="00DF7D87" w:rsidRPr="006B7F6A" w:rsidRDefault="00DF7D87" w:rsidP="00DF7D87">
      <w:pPr>
        <w:spacing w:after="0" w:line="360" w:lineRule="auto"/>
        <w:rPr>
          <w:rFonts w:ascii="Arial" w:hAnsi="Arial" w:cs="Arial"/>
          <w:color w:val="000000" w:themeColor="text1"/>
          <w:sz w:val="24"/>
          <w:szCs w:val="24"/>
          <w:shd w:val="clear" w:color="auto" w:fill="FFFFFF"/>
        </w:rPr>
      </w:pPr>
      <w:r w:rsidRPr="006B7F6A">
        <w:rPr>
          <w:rFonts w:ascii="Arial" w:hAnsi="Arial" w:cs="Arial"/>
          <w:color w:val="000000" w:themeColor="text1"/>
          <w:sz w:val="24"/>
          <w:szCs w:val="24"/>
          <w:shd w:val="clear" w:color="auto" w:fill="FFFFFF"/>
        </w:rPr>
        <w:t>Sin definir</w:t>
      </w:r>
    </w:p>
    <w:p w14:paraId="23985815" w14:textId="77777777" w:rsidR="00AF7D06" w:rsidRDefault="00AF7D06" w:rsidP="00F23750">
      <w:pPr>
        <w:spacing w:after="0" w:line="360" w:lineRule="auto"/>
        <w:rPr>
          <w:rFonts w:ascii="Arial" w:hAnsi="Arial" w:cs="Arial"/>
          <w:i/>
          <w:iCs/>
          <w:color w:val="808080" w:themeColor="background1" w:themeShade="80"/>
          <w:sz w:val="24"/>
          <w:szCs w:val="24"/>
          <w:shd w:val="clear" w:color="auto" w:fill="FFFFFF"/>
        </w:rPr>
      </w:pPr>
    </w:p>
    <w:p w14:paraId="62693342" w14:textId="068E4FDD" w:rsidR="00AF7D06" w:rsidRDefault="00AF7D06" w:rsidP="00AF7D06">
      <w:pPr>
        <w:pStyle w:val="Ttulo1"/>
        <w:spacing w:before="0" w:line="360" w:lineRule="auto"/>
        <w:rPr>
          <w:rFonts w:ascii="Arial" w:hAnsi="Arial" w:cs="Arial"/>
          <w:b/>
          <w:bCs/>
          <w:sz w:val="24"/>
          <w:szCs w:val="24"/>
          <w:shd w:val="clear" w:color="auto" w:fill="FFFFFF"/>
        </w:rPr>
      </w:pPr>
      <w:r w:rsidRPr="00AF7D06">
        <w:rPr>
          <w:rFonts w:ascii="Arial" w:hAnsi="Arial" w:cs="Arial"/>
          <w:b/>
          <w:bCs/>
          <w:sz w:val="24"/>
          <w:szCs w:val="24"/>
          <w:shd w:val="clear" w:color="auto" w:fill="FFFFFF"/>
        </w:rPr>
        <w:t xml:space="preserve">LINEAMIENTOS GENERALES </w:t>
      </w:r>
      <w:r>
        <w:rPr>
          <w:rFonts w:ascii="Arial" w:hAnsi="Arial" w:cs="Arial"/>
          <w:b/>
          <w:bCs/>
          <w:sz w:val="24"/>
          <w:szCs w:val="24"/>
          <w:shd w:val="clear" w:color="auto" w:fill="FFFFFF"/>
        </w:rPr>
        <w:t xml:space="preserve">O POLÍTICAS DE OPERACIÓN </w:t>
      </w:r>
    </w:p>
    <w:p w14:paraId="460BB252" w14:textId="77777777" w:rsidR="00DF7D87" w:rsidRDefault="00DF7D87" w:rsidP="00DF7D87">
      <w:pPr>
        <w:spacing w:after="0" w:line="360" w:lineRule="auto"/>
        <w:rPr>
          <w:rFonts w:ascii="Arial" w:hAnsi="Arial" w:cs="Arial"/>
          <w:color w:val="000000" w:themeColor="text1"/>
          <w:sz w:val="24"/>
          <w:szCs w:val="24"/>
          <w:shd w:val="clear" w:color="auto" w:fill="FFFFFF"/>
        </w:rPr>
      </w:pPr>
      <w:r w:rsidRPr="006B7F6A">
        <w:rPr>
          <w:rFonts w:ascii="Arial" w:hAnsi="Arial" w:cs="Arial"/>
          <w:color w:val="000000" w:themeColor="text1"/>
          <w:sz w:val="24"/>
          <w:szCs w:val="24"/>
          <w:shd w:val="clear" w:color="auto" w:fill="FFFFFF"/>
        </w:rPr>
        <w:t>Sin definir</w:t>
      </w:r>
    </w:p>
    <w:p w14:paraId="57E23D66" w14:textId="77777777" w:rsidR="00AC2B97" w:rsidRDefault="00AC2B97" w:rsidP="00DF7D87">
      <w:pPr>
        <w:spacing w:after="0" w:line="360" w:lineRule="auto"/>
        <w:rPr>
          <w:rFonts w:ascii="Arial" w:hAnsi="Arial" w:cs="Arial"/>
          <w:color w:val="000000" w:themeColor="text1"/>
          <w:sz w:val="24"/>
          <w:szCs w:val="24"/>
          <w:shd w:val="clear" w:color="auto" w:fill="FFFFFF"/>
        </w:rPr>
      </w:pPr>
    </w:p>
    <w:p w14:paraId="6428E102" w14:textId="02C989B2" w:rsidR="3D8323BB" w:rsidRDefault="3D8323BB" w:rsidP="04881FFF">
      <w:pPr>
        <w:pStyle w:val="Ttulo1"/>
        <w:spacing w:before="0" w:line="360" w:lineRule="auto"/>
        <w:rPr>
          <w:rFonts w:ascii="Arial" w:eastAsia="Arial" w:hAnsi="Arial" w:cs="Arial"/>
          <w:sz w:val="24"/>
          <w:szCs w:val="24"/>
          <w:lang w:val="es-ES"/>
        </w:rPr>
      </w:pPr>
      <w:r w:rsidRPr="04881FFF">
        <w:rPr>
          <w:rFonts w:ascii="Arial" w:eastAsia="Arial" w:hAnsi="Arial" w:cs="Arial"/>
          <w:b/>
          <w:bCs/>
          <w:sz w:val="24"/>
          <w:szCs w:val="24"/>
        </w:rPr>
        <w:t>RESPONSABLE DEL PROCEDIMIENTO</w:t>
      </w:r>
    </w:p>
    <w:p w14:paraId="26DF5F9C" w14:textId="1F493018" w:rsidR="3D8323BB" w:rsidRDefault="3D8323BB" w:rsidP="04881FFF">
      <w:pPr>
        <w:spacing w:after="0" w:line="360" w:lineRule="auto"/>
        <w:rPr>
          <w:rFonts w:ascii="Arial" w:eastAsia="Arial" w:hAnsi="Arial" w:cs="Arial"/>
          <w:color w:val="000000" w:themeColor="text1"/>
          <w:sz w:val="24"/>
          <w:szCs w:val="24"/>
          <w:lang w:val="es-ES"/>
        </w:rPr>
      </w:pPr>
      <w:r w:rsidRPr="04881FFF">
        <w:rPr>
          <w:rFonts w:ascii="Arial" w:eastAsia="Arial" w:hAnsi="Arial" w:cs="Arial"/>
          <w:color w:val="000000" w:themeColor="text1"/>
          <w:sz w:val="24"/>
          <w:szCs w:val="24"/>
        </w:rPr>
        <w:t>Dirección jurídica</w:t>
      </w:r>
    </w:p>
    <w:p w14:paraId="1FF1D4B9" w14:textId="7213B671" w:rsidR="3D8323BB" w:rsidRDefault="3D8323BB" w:rsidP="04881FFF">
      <w:pPr>
        <w:pStyle w:val="Ttulo1"/>
        <w:spacing w:before="0" w:line="360" w:lineRule="auto"/>
        <w:rPr>
          <w:rFonts w:ascii="Arial" w:eastAsia="Arial" w:hAnsi="Arial" w:cs="Arial"/>
          <w:sz w:val="24"/>
          <w:szCs w:val="24"/>
        </w:rPr>
      </w:pPr>
      <w:r w:rsidRPr="04881FFF">
        <w:rPr>
          <w:rFonts w:ascii="Arial" w:eastAsia="Arial" w:hAnsi="Arial" w:cs="Arial"/>
          <w:b/>
          <w:bCs/>
          <w:sz w:val="24"/>
          <w:szCs w:val="24"/>
        </w:rPr>
        <w:lastRenderedPageBreak/>
        <w:t>DIAGRAMA DE FLUJO</w:t>
      </w:r>
    </w:p>
    <w:p w14:paraId="7B187D03" w14:textId="4CB669F1" w:rsidR="3D8323BB" w:rsidRDefault="3D8323BB" w:rsidP="04881FFF">
      <w:pPr>
        <w:rPr>
          <w:rFonts w:ascii="Arial" w:eastAsia="Arial" w:hAnsi="Arial" w:cs="Arial"/>
          <w:color w:val="000000" w:themeColor="text1"/>
          <w:sz w:val="24"/>
          <w:szCs w:val="24"/>
        </w:rPr>
      </w:pPr>
      <w:r w:rsidRPr="04881FFF">
        <w:rPr>
          <w:rFonts w:ascii="Arial" w:eastAsia="Arial" w:hAnsi="Arial" w:cs="Arial"/>
          <w:color w:val="000000" w:themeColor="text1"/>
          <w:sz w:val="24"/>
          <w:szCs w:val="24"/>
        </w:rPr>
        <w:t>Se encuentra anexo</w:t>
      </w:r>
    </w:p>
    <w:p w14:paraId="77CEF722" w14:textId="2D00D9CC" w:rsidR="00781A83" w:rsidRPr="00955475" w:rsidRDefault="00781A83" w:rsidP="00F23750">
      <w:pPr>
        <w:pStyle w:val="Ttulo1"/>
        <w:spacing w:before="0" w:line="360" w:lineRule="auto"/>
        <w:rPr>
          <w:rFonts w:ascii="Arial" w:hAnsi="Arial" w:cs="Arial"/>
          <w:b/>
          <w:bCs/>
          <w:sz w:val="24"/>
          <w:szCs w:val="24"/>
          <w:shd w:val="clear" w:color="auto" w:fill="FFFFFF"/>
        </w:rPr>
      </w:pPr>
      <w:r w:rsidRPr="00955475">
        <w:rPr>
          <w:rFonts w:ascii="Arial" w:hAnsi="Arial" w:cs="Arial"/>
          <w:b/>
          <w:bCs/>
          <w:sz w:val="24"/>
          <w:szCs w:val="24"/>
          <w:shd w:val="clear" w:color="auto" w:fill="FFFFFF"/>
        </w:rPr>
        <w:t>DESARROLLO -</w:t>
      </w:r>
      <w:r w:rsidR="007E2E39">
        <w:rPr>
          <w:rFonts w:ascii="Arial" w:hAnsi="Arial" w:cs="Arial"/>
          <w:b/>
          <w:bCs/>
          <w:sz w:val="24"/>
          <w:szCs w:val="24"/>
          <w:shd w:val="clear" w:color="auto" w:fill="FFFFFF"/>
        </w:rPr>
        <w:t xml:space="preserve"> </w:t>
      </w:r>
      <w:r w:rsidRPr="00955475">
        <w:rPr>
          <w:rFonts w:ascii="Arial" w:hAnsi="Arial" w:cs="Arial"/>
          <w:b/>
          <w:bCs/>
          <w:sz w:val="24"/>
          <w:szCs w:val="24"/>
          <w:shd w:val="clear" w:color="auto" w:fill="FFFFFF"/>
        </w:rPr>
        <w:t>DESCRIPCIÓN</w:t>
      </w:r>
    </w:p>
    <w:p w14:paraId="1F661241" w14:textId="77777777" w:rsidR="00490AEE" w:rsidRPr="008E3C55" w:rsidRDefault="00490AEE" w:rsidP="00955475">
      <w:pPr>
        <w:spacing w:after="0" w:line="240" w:lineRule="auto"/>
        <w:rPr>
          <w:rFonts w:ascii="Arial" w:eastAsiaTheme="majorEastAsia" w:hAnsi="Arial" w:cs="Arial"/>
          <w:b/>
          <w:bCs/>
          <w:sz w:val="24"/>
          <w:szCs w:val="24"/>
          <w:shd w:val="clear" w:color="auto" w:fill="FFFFFF"/>
        </w:rPr>
      </w:pPr>
    </w:p>
    <w:tbl>
      <w:tblPr>
        <w:tblStyle w:val="Tablaconcuadrcula"/>
        <w:tblW w:w="13749" w:type="dxa"/>
        <w:tblInd w:w="-431" w:type="dxa"/>
        <w:tblCellMar>
          <w:left w:w="28" w:type="dxa"/>
          <w:right w:w="28" w:type="dxa"/>
        </w:tblCellMar>
        <w:tblLook w:val="04A0" w:firstRow="1" w:lastRow="0" w:firstColumn="1" w:lastColumn="0" w:noHBand="0" w:noVBand="1"/>
      </w:tblPr>
      <w:tblGrid>
        <w:gridCol w:w="426"/>
        <w:gridCol w:w="7370"/>
        <w:gridCol w:w="1984"/>
        <w:gridCol w:w="1701"/>
        <w:gridCol w:w="2268"/>
      </w:tblGrid>
      <w:tr w:rsidR="00963798" w:rsidRPr="00D9357B" w14:paraId="65BF2E3A" w14:textId="77777777" w:rsidTr="005353EF">
        <w:trPr>
          <w:trHeight w:val="347"/>
          <w:tblHeader/>
        </w:trPr>
        <w:tc>
          <w:tcPr>
            <w:tcW w:w="426" w:type="dxa"/>
            <w:shd w:val="clear" w:color="auto" w:fill="33CCCC"/>
            <w:vAlign w:val="center"/>
          </w:tcPr>
          <w:p w14:paraId="48662869" w14:textId="4F5204A7" w:rsidR="00963798" w:rsidRPr="00D9357B" w:rsidRDefault="00963798" w:rsidP="005353EF">
            <w:pPr>
              <w:jc w:val="center"/>
              <w:rPr>
                <w:rFonts w:ascii="Arial" w:hAnsi="Arial" w:cs="Arial"/>
                <w:b/>
                <w:bCs/>
              </w:rPr>
            </w:pPr>
            <w:r w:rsidRPr="00D9357B">
              <w:rPr>
                <w:rFonts w:ascii="Arial" w:hAnsi="Arial" w:cs="Arial"/>
                <w:b/>
                <w:bCs/>
              </w:rPr>
              <w:t>N.</w:t>
            </w:r>
          </w:p>
        </w:tc>
        <w:tc>
          <w:tcPr>
            <w:tcW w:w="7370" w:type="dxa"/>
            <w:shd w:val="clear" w:color="auto" w:fill="33CCCC"/>
            <w:vAlign w:val="center"/>
          </w:tcPr>
          <w:p w14:paraId="3753FD9A" w14:textId="749D0F70" w:rsidR="00963798" w:rsidRPr="00D9357B" w:rsidRDefault="00963798" w:rsidP="007F31BC">
            <w:pPr>
              <w:jc w:val="center"/>
              <w:rPr>
                <w:rFonts w:ascii="Arial" w:hAnsi="Arial" w:cs="Arial"/>
                <w:b/>
                <w:bCs/>
              </w:rPr>
            </w:pPr>
            <w:r w:rsidRPr="00D9357B">
              <w:rPr>
                <w:rFonts w:ascii="Arial" w:hAnsi="Arial" w:cs="Arial"/>
                <w:b/>
                <w:bCs/>
              </w:rPr>
              <w:t>Actividad</w:t>
            </w:r>
          </w:p>
        </w:tc>
        <w:tc>
          <w:tcPr>
            <w:tcW w:w="1984" w:type="dxa"/>
            <w:shd w:val="clear" w:color="auto" w:fill="33CCCC"/>
            <w:vAlign w:val="center"/>
          </w:tcPr>
          <w:p w14:paraId="2C34BC69" w14:textId="5D936930" w:rsidR="00963798" w:rsidRPr="00D9357B" w:rsidRDefault="00963798" w:rsidP="007F31BC">
            <w:pPr>
              <w:jc w:val="center"/>
              <w:rPr>
                <w:rFonts w:ascii="Arial" w:hAnsi="Arial" w:cs="Arial"/>
                <w:b/>
                <w:bCs/>
              </w:rPr>
            </w:pPr>
            <w:r w:rsidRPr="00D9357B">
              <w:rPr>
                <w:rFonts w:ascii="Arial" w:hAnsi="Arial" w:cs="Arial"/>
                <w:b/>
                <w:bCs/>
              </w:rPr>
              <w:t>Responsable</w:t>
            </w:r>
          </w:p>
        </w:tc>
        <w:tc>
          <w:tcPr>
            <w:tcW w:w="1701" w:type="dxa"/>
            <w:shd w:val="clear" w:color="auto" w:fill="33CCCC"/>
            <w:vAlign w:val="center"/>
          </w:tcPr>
          <w:p w14:paraId="7E2CDC36" w14:textId="03BF0236" w:rsidR="00963798" w:rsidRPr="00D9357B" w:rsidRDefault="00963798" w:rsidP="007F31BC">
            <w:pPr>
              <w:jc w:val="center"/>
              <w:rPr>
                <w:rFonts w:ascii="Arial" w:hAnsi="Arial" w:cs="Arial"/>
                <w:b/>
                <w:bCs/>
              </w:rPr>
            </w:pPr>
            <w:r w:rsidRPr="00D9357B">
              <w:rPr>
                <w:rFonts w:ascii="Arial" w:hAnsi="Arial" w:cs="Arial"/>
                <w:b/>
                <w:bCs/>
              </w:rPr>
              <w:t>Tiempo o frecuencia si aplica</w:t>
            </w:r>
          </w:p>
        </w:tc>
        <w:tc>
          <w:tcPr>
            <w:tcW w:w="2268" w:type="dxa"/>
            <w:shd w:val="clear" w:color="auto" w:fill="33CCCC"/>
            <w:vAlign w:val="center"/>
          </w:tcPr>
          <w:p w14:paraId="2A425660" w14:textId="5E205602" w:rsidR="00963798" w:rsidRPr="00D9357B" w:rsidRDefault="00963798" w:rsidP="007F31BC">
            <w:pPr>
              <w:jc w:val="center"/>
              <w:rPr>
                <w:rFonts w:ascii="Arial" w:hAnsi="Arial" w:cs="Arial"/>
                <w:b/>
                <w:bCs/>
              </w:rPr>
            </w:pPr>
            <w:r w:rsidRPr="00D9357B">
              <w:rPr>
                <w:rFonts w:ascii="Arial" w:hAnsi="Arial" w:cs="Arial"/>
                <w:b/>
                <w:bCs/>
              </w:rPr>
              <w:t>Registro</w:t>
            </w:r>
          </w:p>
        </w:tc>
      </w:tr>
      <w:tr w:rsidR="002A5125" w14:paraId="3EC6E0D1" w14:textId="77777777">
        <w:tc>
          <w:tcPr>
            <w:tcW w:w="426" w:type="dxa"/>
          </w:tcPr>
          <w:p w14:paraId="18F999B5" w14:textId="6683E0EC" w:rsidR="002A5125" w:rsidRPr="009A1764" w:rsidRDefault="00F76AC8">
            <w:pPr>
              <w:rPr>
                <w:b/>
                <w:bCs/>
              </w:rPr>
            </w:pPr>
            <w:r w:rsidRPr="009A1764">
              <w:rPr>
                <w:b/>
                <w:bCs/>
              </w:rPr>
              <w:t>1</w:t>
            </w:r>
          </w:p>
        </w:tc>
        <w:tc>
          <w:tcPr>
            <w:tcW w:w="7370" w:type="dxa"/>
          </w:tcPr>
          <w:p w14:paraId="5AEAA165" w14:textId="77777777" w:rsidR="00F3657B" w:rsidRDefault="005B4B49">
            <w:r>
              <w:rPr>
                <w:b/>
              </w:rPr>
              <w:t>Preparar boletín jurídico</w:t>
            </w:r>
            <w:r>
              <w:t xml:space="preserve"> </w:t>
            </w:r>
          </w:p>
          <w:p w14:paraId="59108250" w14:textId="77777777" w:rsidR="00F3657B" w:rsidRDefault="00F3657B"/>
          <w:p w14:paraId="06766494" w14:textId="77777777" w:rsidR="00F05A82" w:rsidRPr="00F05A82" w:rsidRDefault="00F05A82" w:rsidP="00F05A82">
            <w:r w:rsidRPr="00F05A82">
              <w:t xml:space="preserve">Trimestralmente, el Coordinador del Grupo de Conceptos, Derechos de Petición y Apoyo Legislativo, o quien este designe para ello, elige los conceptos de mayor relevancia </w:t>
            </w:r>
          </w:p>
          <w:p w14:paraId="06FD37F1" w14:textId="77777777" w:rsidR="00F05A82" w:rsidRPr="00F05A82" w:rsidRDefault="00F05A82" w:rsidP="00F05A82">
            <w:r w:rsidRPr="00F05A82">
              <w:t xml:space="preserve">emitidos en el trimestre correspondiente. Se anonimiza la información dentro de cada concepto que tenga calificación como información clasificada o reservada. Finalmente, se remite a la Oficina Asesora de Comunicaciones Estratégicas e Imagen Institucional para su revisión de estilo y diagramación. </w:t>
            </w:r>
          </w:p>
          <w:p w14:paraId="169F94AA" w14:textId="7081C562" w:rsidR="002A5125" w:rsidRDefault="002A5125"/>
        </w:tc>
        <w:tc>
          <w:tcPr>
            <w:tcW w:w="1984" w:type="dxa"/>
          </w:tcPr>
          <w:p w14:paraId="00E2AC32" w14:textId="77777777" w:rsidR="00F05A82" w:rsidRDefault="00F05A82"/>
          <w:p w14:paraId="4F2F2454" w14:textId="77777777" w:rsidR="00F05A82" w:rsidRDefault="00F05A82"/>
          <w:p w14:paraId="117F4263" w14:textId="77777777" w:rsidR="00F05A82" w:rsidRDefault="00F05A82"/>
          <w:p w14:paraId="1F613763" w14:textId="5E919147" w:rsidR="002A5125" w:rsidRDefault="00F05A82">
            <w:r w:rsidRPr="00F05A82">
              <w:t>Coordinador del Grupo de Conceptos, Derechos de Petición y Apoyo Legislativo</w:t>
            </w:r>
          </w:p>
        </w:tc>
        <w:tc>
          <w:tcPr>
            <w:tcW w:w="1701" w:type="dxa"/>
          </w:tcPr>
          <w:p w14:paraId="7B35BF68" w14:textId="77777777" w:rsidR="00F05A82" w:rsidRDefault="00F05A82"/>
          <w:p w14:paraId="1DB7FB01" w14:textId="77777777" w:rsidR="00F05A82" w:rsidRDefault="00F05A82"/>
          <w:p w14:paraId="49042CEB" w14:textId="77777777" w:rsidR="00F05A82" w:rsidRDefault="00F05A82"/>
          <w:p w14:paraId="47AC0E1D" w14:textId="36251E32" w:rsidR="002A5125" w:rsidRDefault="005B4B49">
            <w:r>
              <w:t>Sin definir</w:t>
            </w:r>
          </w:p>
        </w:tc>
        <w:tc>
          <w:tcPr>
            <w:tcW w:w="2268" w:type="dxa"/>
          </w:tcPr>
          <w:p w14:paraId="5CF8A996" w14:textId="77777777" w:rsidR="00F05A82" w:rsidRDefault="00F05A82"/>
          <w:p w14:paraId="631D8462" w14:textId="77777777" w:rsidR="00F05A82" w:rsidRDefault="00F05A82"/>
          <w:p w14:paraId="23A7C321" w14:textId="77777777" w:rsidR="00F05A82" w:rsidRDefault="00F05A82"/>
          <w:p w14:paraId="4312049F" w14:textId="7E6C8142" w:rsidR="002A5125" w:rsidRDefault="005B4B49">
            <w:r>
              <w:t>Sin definir</w:t>
            </w:r>
          </w:p>
        </w:tc>
      </w:tr>
      <w:tr w:rsidR="002A5125" w14:paraId="452E065B" w14:textId="77777777">
        <w:tc>
          <w:tcPr>
            <w:tcW w:w="426" w:type="dxa"/>
          </w:tcPr>
          <w:p w14:paraId="5FCD5EC4" w14:textId="02A2C74D" w:rsidR="002A5125" w:rsidRPr="009A1764" w:rsidRDefault="003756D0">
            <w:pPr>
              <w:rPr>
                <w:b/>
                <w:bCs/>
              </w:rPr>
            </w:pPr>
            <w:r w:rsidRPr="009A1764">
              <w:rPr>
                <w:b/>
                <w:bCs/>
              </w:rPr>
              <w:t>2</w:t>
            </w:r>
          </w:p>
        </w:tc>
        <w:tc>
          <w:tcPr>
            <w:tcW w:w="7370" w:type="dxa"/>
          </w:tcPr>
          <w:p w14:paraId="25A1B21C" w14:textId="77777777" w:rsidR="002A5125" w:rsidRDefault="005B4B49">
            <w:r>
              <w:rPr>
                <w:b/>
              </w:rPr>
              <w:t>Revisar proyecto de boletín jurídico</w:t>
            </w:r>
            <w:r>
              <w:t xml:space="preserve"> </w:t>
            </w:r>
          </w:p>
          <w:p w14:paraId="2D40DDFF" w14:textId="77777777" w:rsidR="00937F42" w:rsidRDefault="00937F42"/>
          <w:p w14:paraId="2D34C185" w14:textId="3B986308" w:rsidR="00937F42" w:rsidRDefault="003756D0">
            <w:r>
              <w:t>¿</w:t>
            </w:r>
            <w:r w:rsidR="00937F42">
              <w:t xml:space="preserve">Se aprueba el proyecto? </w:t>
            </w:r>
          </w:p>
          <w:p w14:paraId="43660346" w14:textId="2F4590F2" w:rsidR="003756D0" w:rsidRDefault="003756D0"/>
          <w:p w14:paraId="2BD09E3B" w14:textId="3DA0CE8A" w:rsidR="003756D0" w:rsidRDefault="003756D0">
            <w:r>
              <w:t>Si, continua con la actividad 3</w:t>
            </w:r>
            <w:r w:rsidR="00363DED">
              <w:t xml:space="preserve"> </w:t>
            </w:r>
            <w:r w:rsidR="00363DED">
              <w:rPr>
                <w:b/>
              </w:rPr>
              <w:t xml:space="preserve">Proceso Gobierno y Gestión de </w:t>
            </w:r>
            <w:r w:rsidR="005B4B49">
              <w:rPr>
                <w:b/>
              </w:rPr>
              <w:t>Datos e</w:t>
            </w:r>
            <w:r w:rsidR="00363DED">
              <w:rPr>
                <w:b/>
              </w:rPr>
              <w:t xml:space="preserve"> Información</w:t>
            </w:r>
          </w:p>
          <w:p w14:paraId="62F92019" w14:textId="77777777" w:rsidR="003756D0" w:rsidRDefault="003756D0"/>
          <w:p w14:paraId="695203C8" w14:textId="14259112" w:rsidR="003756D0" w:rsidRDefault="003756D0">
            <w:r>
              <w:t>No, se devuelve al responsable para ajustes</w:t>
            </w:r>
          </w:p>
          <w:p w14:paraId="1D839BDB" w14:textId="444A5CF0" w:rsidR="003756D0" w:rsidRDefault="003756D0"/>
        </w:tc>
        <w:tc>
          <w:tcPr>
            <w:tcW w:w="1984" w:type="dxa"/>
          </w:tcPr>
          <w:p w14:paraId="75275431" w14:textId="77777777" w:rsidR="003756D0" w:rsidRDefault="003756D0"/>
          <w:p w14:paraId="25B6C5E6" w14:textId="77777777" w:rsidR="003756D0" w:rsidRDefault="003756D0"/>
          <w:p w14:paraId="036D319C" w14:textId="77777777" w:rsidR="003756D0" w:rsidRDefault="003756D0"/>
          <w:p w14:paraId="6C56262F" w14:textId="7A2F5F72" w:rsidR="002A5125" w:rsidRDefault="003756D0">
            <w:r>
              <w:t>Director Jurídico</w:t>
            </w:r>
          </w:p>
        </w:tc>
        <w:tc>
          <w:tcPr>
            <w:tcW w:w="1701" w:type="dxa"/>
          </w:tcPr>
          <w:p w14:paraId="2D2B5634" w14:textId="77777777" w:rsidR="003756D0" w:rsidRDefault="003756D0"/>
          <w:p w14:paraId="21B8AF48" w14:textId="77777777" w:rsidR="003756D0" w:rsidRDefault="003756D0"/>
          <w:p w14:paraId="53C064E7" w14:textId="77777777" w:rsidR="003756D0" w:rsidRDefault="003756D0"/>
          <w:p w14:paraId="4E5A2800" w14:textId="452912BB" w:rsidR="002A5125" w:rsidRDefault="005B4B49">
            <w:r>
              <w:t>Sin definir</w:t>
            </w:r>
          </w:p>
        </w:tc>
        <w:tc>
          <w:tcPr>
            <w:tcW w:w="2268" w:type="dxa"/>
          </w:tcPr>
          <w:p w14:paraId="6ED7E470" w14:textId="77777777" w:rsidR="003756D0" w:rsidRDefault="003756D0"/>
          <w:p w14:paraId="67E2A46F" w14:textId="77777777" w:rsidR="003756D0" w:rsidRDefault="003756D0"/>
          <w:p w14:paraId="1970BC4E" w14:textId="77777777" w:rsidR="003756D0" w:rsidRDefault="003756D0"/>
          <w:p w14:paraId="4E479341" w14:textId="7CCB2C55" w:rsidR="002A5125" w:rsidRDefault="005B4B49">
            <w:r>
              <w:t>Sin definir</w:t>
            </w:r>
          </w:p>
        </w:tc>
      </w:tr>
      <w:tr w:rsidR="002A5125" w14:paraId="7DC289C8" w14:textId="77777777">
        <w:tc>
          <w:tcPr>
            <w:tcW w:w="426" w:type="dxa"/>
          </w:tcPr>
          <w:p w14:paraId="2598DEE6" w14:textId="00050705" w:rsidR="002A5125" w:rsidRPr="009A1764" w:rsidRDefault="003756D0">
            <w:pPr>
              <w:rPr>
                <w:b/>
                <w:bCs/>
              </w:rPr>
            </w:pPr>
            <w:r w:rsidRPr="009A1764">
              <w:rPr>
                <w:b/>
                <w:bCs/>
              </w:rPr>
              <w:t>3</w:t>
            </w:r>
          </w:p>
        </w:tc>
        <w:tc>
          <w:tcPr>
            <w:tcW w:w="7370" w:type="dxa"/>
          </w:tcPr>
          <w:p w14:paraId="70A7C449" w14:textId="39D348C8" w:rsidR="002A5125" w:rsidRDefault="005B4B49">
            <w:r>
              <w:rPr>
                <w:b/>
              </w:rPr>
              <w:t xml:space="preserve">Proceso Gobierno y Gestión de </w:t>
            </w:r>
            <w:r w:rsidR="009A1764">
              <w:rPr>
                <w:b/>
              </w:rPr>
              <w:t>Datos e</w:t>
            </w:r>
            <w:r>
              <w:rPr>
                <w:b/>
              </w:rPr>
              <w:t xml:space="preserve"> Información</w:t>
            </w:r>
            <w:r>
              <w:t xml:space="preserve"> Actividad clave de éxito "Gestionar Comunicaciones"</w:t>
            </w:r>
          </w:p>
        </w:tc>
        <w:tc>
          <w:tcPr>
            <w:tcW w:w="1984" w:type="dxa"/>
          </w:tcPr>
          <w:p w14:paraId="513109AB" w14:textId="57AF5DAC" w:rsidR="002A5125" w:rsidRDefault="00C02560">
            <w:r>
              <w:t>Oficina Asesora de Comunicaciones</w:t>
            </w:r>
          </w:p>
        </w:tc>
        <w:tc>
          <w:tcPr>
            <w:tcW w:w="1701" w:type="dxa"/>
          </w:tcPr>
          <w:p w14:paraId="60A037C5" w14:textId="77777777" w:rsidR="002A5125" w:rsidRDefault="005B4B49">
            <w:r>
              <w:t>Sin definir</w:t>
            </w:r>
          </w:p>
        </w:tc>
        <w:tc>
          <w:tcPr>
            <w:tcW w:w="2268" w:type="dxa"/>
          </w:tcPr>
          <w:p w14:paraId="43CA718E" w14:textId="77777777" w:rsidR="002A5125" w:rsidRDefault="005B4B49">
            <w:r>
              <w:t>Sin definir</w:t>
            </w:r>
          </w:p>
        </w:tc>
      </w:tr>
      <w:tr w:rsidR="002A5125" w14:paraId="66B9F92A" w14:textId="77777777">
        <w:tc>
          <w:tcPr>
            <w:tcW w:w="426" w:type="dxa"/>
          </w:tcPr>
          <w:p w14:paraId="78941E47" w14:textId="7922E183" w:rsidR="002A5125" w:rsidRPr="009A1764" w:rsidRDefault="00712CA6">
            <w:pPr>
              <w:rPr>
                <w:b/>
                <w:bCs/>
              </w:rPr>
            </w:pPr>
            <w:r w:rsidRPr="009A1764">
              <w:rPr>
                <w:b/>
                <w:bCs/>
              </w:rPr>
              <w:lastRenderedPageBreak/>
              <w:t>4</w:t>
            </w:r>
          </w:p>
        </w:tc>
        <w:tc>
          <w:tcPr>
            <w:tcW w:w="7370" w:type="dxa"/>
          </w:tcPr>
          <w:p w14:paraId="65CF6817" w14:textId="77777777" w:rsidR="002A5125" w:rsidRDefault="005B4B49">
            <w:r>
              <w:rPr>
                <w:b/>
              </w:rPr>
              <w:t>Proceso Gestión de Bienes y Servicios</w:t>
            </w:r>
            <w:r>
              <w:t xml:space="preserve"> Actividad "Gestionar Etapa Contractual". Se gestiona solicitud a un contratista prestador de servicios vinculado con la entidad.</w:t>
            </w:r>
          </w:p>
        </w:tc>
        <w:tc>
          <w:tcPr>
            <w:tcW w:w="1984" w:type="dxa"/>
          </w:tcPr>
          <w:p w14:paraId="235E2E60" w14:textId="4AE97A65" w:rsidR="002A5125" w:rsidRDefault="00C02560">
            <w:r>
              <w:t>Dirección de Contratación</w:t>
            </w:r>
          </w:p>
        </w:tc>
        <w:tc>
          <w:tcPr>
            <w:tcW w:w="1701" w:type="dxa"/>
          </w:tcPr>
          <w:p w14:paraId="4C6AAD3E" w14:textId="77777777" w:rsidR="002A5125" w:rsidRDefault="005B4B49">
            <w:r>
              <w:t>Sin definir</w:t>
            </w:r>
          </w:p>
        </w:tc>
        <w:tc>
          <w:tcPr>
            <w:tcW w:w="2268" w:type="dxa"/>
          </w:tcPr>
          <w:p w14:paraId="16820681" w14:textId="77777777" w:rsidR="002A5125" w:rsidRDefault="005B4B49">
            <w:r>
              <w:t>Sin definir</w:t>
            </w:r>
          </w:p>
        </w:tc>
      </w:tr>
      <w:tr w:rsidR="002A5125" w14:paraId="639E5CBA" w14:textId="77777777">
        <w:tc>
          <w:tcPr>
            <w:tcW w:w="426" w:type="dxa"/>
          </w:tcPr>
          <w:p w14:paraId="29B4EA11" w14:textId="095A2446" w:rsidR="002A5125" w:rsidRPr="009A1764" w:rsidRDefault="00712CA6">
            <w:pPr>
              <w:rPr>
                <w:b/>
                <w:bCs/>
              </w:rPr>
            </w:pPr>
            <w:r w:rsidRPr="009A1764">
              <w:rPr>
                <w:b/>
                <w:bCs/>
              </w:rPr>
              <w:t>5</w:t>
            </w:r>
          </w:p>
        </w:tc>
        <w:tc>
          <w:tcPr>
            <w:tcW w:w="7370" w:type="dxa"/>
          </w:tcPr>
          <w:p w14:paraId="19FEA36B" w14:textId="77777777" w:rsidR="00712CA6" w:rsidRDefault="005B4B49">
            <w:r>
              <w:rPr>
                <w:b/>
              </w:rPr>
              <w:t>Registrar y sistematizar normas y jurisprudencia</w:t>
            </w:r>
            <w:r>
              <w:t xml:space="preserve"> </w:t>
            </w:r>
          </w:p>
          <w:p w14:paraId="4123FC0D" w14:textId="77777777" w:rsidR="00712CA6" w:rsidRDefault="00712CA6"/>
          <w:p w14:paraId="45624BE5" w14:textId="77777777" w:rsidR="00712CA6" w:rsidRPr="00712CA6" w:rsidRDefault="00712CA6" w:rsidP="00712CA6">
            <w:r w:rsidRPr="00712CA6">
              <w:t>Se puede presentar de dos formas:</w:t>
            </w:r>
          </w:p>
          <w:p w14:paraId="67067784" w14:textId="77777777" w:rsidR="00712CA6" w:rsidRPr="00712CA6" w:rsidRDefault="00712CA6" w:rsidP="00712CA6">
            <w:r w:rsidRPr="00712CA6">
              <w:t> </w:t>
            </w:r>
          </w:p>
          <w:p w14:paraId="7E23EF4C" w14:textId="77777777" w:rsidR="00712CA6" w:rsidRPr="00712CA6" w:rsidRDefault="00712CA6" w:rsidP="00712CA6">
            <w:r w:rsidRPr="00712CA6">
              <w:t>1. Prestado por tercero contratado: Cuando la publicación en el normograma de la entidad es realizada por un tercero contratado, una vez el Coordinador del Grupo de Conceptos, Derechos de Petición y Apoyo Legislativo le solicita al contratista, este publica la norma o jurisprudencia que le sea indicada.</w:t>
            </w:r>
          </w:p>
          <w:p w14:paraId="43A02979" w14:textId="77777777" w:rsidR="00712CA6" w:rsidRPr="00712CA6" w:rsidRDefault="00712CA6" w:rsidP="00712CA6">
            <w:r w:rsidRPr="00712CA6">
              <w:t> </w:t>
            </w:r>
          </w:p>
          <w:p w14:paraId="7263F254" w14:textId="77777777" w:rsidR="00712CA6" w:rsidRPr="00712CA6" w:rsidRDefault="00712CA6" w:rsidP="00712CA6">
            <w:r w:rsidRPr="00712CA6">
              <w:t>2. Realizado por personal interno: Se realiza la publicación de la normativa, jurisprudencia y conceptos que se consideren en el portal del normograma de la entidad, atendiendo el esquema de publicación de la entidad y, solicitando, si es requerida la publicación en el portal web de la entidad.</w:t>
            </w:r>
          </w:p>
          <w:p w14:paraId="7F546584" w14:textId="77777777" w:rsidR="00712CA6" w:rsidRPr="00712CA6" w:rsidRDefault="00712CA6" w:rsidP="00712CA6">
            <w:r w:rsidRPr="00712CA6">
              <w:t> </w:t>
            </w:r>
          </w:p>
          <w:p w14:paraId="519114BE" w14:textId="1506D8CC" w:rsidR="002A5125" w:rsidRDefault="002A5125"/>
        </w:tc>
        <w:tc>
          <w:tcPr>
            <w:tcW w:w="1984" w:type="dxa"/>
          </w:tcPr>
          <w:p w14:paraId="1FA00E9A" w14:textId="77777777" w:rsidR="002A5125" w:rsidRDefault="002A5125"/>
          <w:p w14:paraId="3A78C972" w14:textId="77777777" w:rsidR="00E123A3" w:rsidRDefault="00E123A3"/>
          <w:p w14:paraId="72D0919A" w14:textId="77777777" w:rsidR="00E123A3" w:rsidRDefault="00E123A3"/>
          <w:p w14:paraId="1F9BDBA8" w14:textId="77777777" w:rsidR="00E123A3" w:rsidRDefault="00E123A3"/>
          <w:p w14:paraId="5FC8962D" w14:textId="39468E4E" w:rsidR="00E123A3" w:rsidRDefault="00E123A3">
            <w:r w:rsidRPr="00712CA6">
              <w:t>Coordinador del Grupo de Conceptos, Derechos de Petición y Apoyo Legislativo</w:t>
            </w:r>
          </w:p>
        </w:tc>
        <w:tc>
          <w:tcPr>
            <w:tcW w:w="1701" w:type="dxa"/>
          </w:tcPr>
          <w:p w14:paraId="51553D7C" w14:textId="77777777" w:rsidR="00AA6B16" w:rsidRDefault="00AA6B16"/>
          <w:p w14:paraId="6E9B88D0" w14:textId="77777777" w:rsidR="00AA6B16" w:rsidRDefault="00AA6B16"/>
          <w:p w14:paraId="2857C368" w14:textId="77777777" w:rsidR="00AA6B16" w:rsidRDefault="00AA6B16"/>
          <w:p w14:paraId="1D966431" w14:textId="77777777" w:rsidR="00AA6B16" w:rsidRDefault="00AA6B16"/>
          <w:p w14:paraId="4CB5B843" w14:textId="77777777" w:rsidR="00AA6B16" w:rsidRDefault="00AA6B16"/>
          <w:p w14:paraId="0FD16A01" w14:textId="2D8E71EF" w:rsidR="002A5125" w:rsidRDefault="005B4B49">
            <w:r>
              <w:t>Sin definir</w:t>
            </w:r>
          </w:p>
        </w:tc>
        <w:tc>
          <w:tcPr>
            <w:tcW w:w="2268" w:type="dxa"/>
          </w:tcPr>
          <w:p w14:paraId="0523927B" w14:textId="77777777" w:rsidR="00AA6B16" w:rsidRDefault="00AA6B16"/>
          <w:p w14:paraId="4CDE414F" w14:textId="77777777" w:rsidR="00AA6B16" w:rsidRDefault="00AA6B16"/>
          <w:p w14:paraId="0E10694A" w14:textId="77777777" w:rsidR="00AA6B16" w:rsidRDefault="00AA6B16"/>
          <w:p w14:paraId="7AB227A0" w14:textId="77777777" w:rsidR="00AA6B16" w:rsidRDefault="00AA6B16"/>
          <w:p w14:paraId="681C729C" w14:textId="77777777" w:rsidR="00AA6B16" w:rsidRDefault="00AA6B16"/>
          <w:p w14:paraId="6CCA3F23" w14:textId="1FA716A5" w:rsidR="002A5125" w:rsidRDefault="005B4B49">
            <w:r>
              <w:t>Sin definir</w:t>
            </w:r>
          </w:p>
        </w:tc>
      </w:tr>
    </w:tbl>
    <w:p w14:paraId="62E8955D" w14:textId="1706BF78" w:rsidR="00DF6608" w:rsidRDefault="00DF6608" w:rsidP="00F23750">
      <w:pPr>
        <w:spacing w:after="0" w:line="360" w:lineRule="auto"/>
        <w:rPr>
          <w:rFonts w:ascii="Arial" w:eastAsiaTheme="majorEastAsia" w:hAnsi="Arial" w:cs="Arial"/>
          <w:b/>
          <w:bCs/>
          <w:color w:val="2F5496" w:themeColor="accent1" w:themeShade="BF"/>
          <w:shd w:val="clear" w:color="auto" w:fill="FFFFFF"/>
        </w:rPr>
      </w:pPr>
    </w:p>
    <w:p w14:paraId="7B86A5BA" w14:textId="70B82176" w:rsidR="00781A83" w:rsidRDefault="00781A83" w:rsidP="00F23750">
      <w:pPr>
        <w:spacing w:after="0" w:line="360" w:lineRule="auto"/>
        <w:rPr>
          <w:rFonts w:ascii="Arial" w:eastAsiaTheme="majorEastAsia" w:hAnsi="Arial" w:cs="Arial"/>
          <w:b/>
          <w:bCs/>
          <w:color w:val="2F5496" w:themeColor="accent1" w:themeShade="BF"/>
          <w:shd w:val="clear" w:color="auto" w:fill="FFFFFF"/>
        </w:rPr>
      </w:pPr>
      <w:r w:rsidRPr="00781A83">
        <w:rPr>
          <w:rFonts w:ascii="Arial" w:eastAsiaTheme="majorEastAsia" w:hAnsi="Arial" w:cs="Arial"/>
          <w:b/>
          <w:bCs/>
          <w:color w:val="2F5496" w:themeColor="accent1" w:themeShade="BF"/>
          <w:shd w:val="clear" w:color="auto" w:fill="FFFFFF"/>
        </w:rPr>
        <w:t xml:space="preserve">ANEXOS </w:t>
      </w:r>
    </w:p>
    <w:p w14:paraId="455FB013" w14:textId="77777777" w:rsidR="006B7F6A" w:rsidRPr="006B7F6A" w:rsidRDefault="006B7F6A" w:rsidP="006B7F6A">
      <w:pPr>
        <w:spacing w:after="0" w:line="360" w:lineRule="auto"/>
        <w:rPr>
          <w:rFonts w:ascii="Arial" w:hAnsi="Arial" w:cs="Arial"/>
          <w:color w:val="000000" w:themeColor="text1"/>
          <w:sz w:val="24"/>
          <w:szCs w:val="24"/>
          <w:shd w:val="clear" w:color="auto" w:fill="FFFFFF"/>
        </w:rPr>
      </w:pPr>
      <w:r w:rsidRPr="006B7F6A">
        <w:rPr>
          <w:rFonts w:ascii="Arial" w:hAnsi="Arial" w:cs="Arial"/>
          <w:color w:val="000000" w:themeColor="text1"/>
          <w:sz w:val="24"/>
          <w:szCs w:val="24"/>
          <w:shd w:val="clear" w:color="auto" w:fill="FFFFFF"/>
        </w:rPr>
        <w:t>Sin definir</w:t>
      </w:r>
    </w:p>
    <w:tbl>
      <w:tblPr>
        <w:tblStyle w:val="Tablaconcuadrcula"/>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740"/>
        <w:gridCol w:w="1748"/>
        <w:gridCol w:w="1741"/>
        <w:gridCol w:w="1749"/>
        <w:gridCol w:w="1741"/>
        <w:gridCol w:w="4271"/>
      </w:tblGrid>
      <w:tr w:rsidR="11A23048" w14:paraId="4CF95A76" w14:textId="77777777" w:rsidTr="37F71DE0">
        <w:trPr>
          <w:trHeight w:val="30"/>
        </w:trPr>
        <w:tc>
          <w:tcPr>
            <w:tcW w:w="13143" w:type="dxa"/>
            <w:gridSpan w:val="6"/>
            <w:shd w:val="clear" w:color="auto" w:fill="33CCCC"/>
            <w:tcMar>
              <w:left w:w="105" w:type="dxa"/>
              <w:right w:w="105" w:type="dxa"/>
            </w:tcMar>
            <w:vAlign w:val="center"/>
          </w:tcPr>
          <w:p w14:paraId="4C9463B9" w14:textId="4398CD67" w:rsidR="11A23048" w:rsidRDefault="11A23048" w:rsidP="11A23048">
            <w:pPr>
              <w:jc w:val="center"/>
              <w:rPr>
                <w:rFonts w:ascii="Arial" w:eastAsia="Arial" w:hAnsi="Arial" w:cs="Arial"/>
                <w:color w:val="000000" w:themeColor="text1"/>
              </w:rPr>
            </w:pPr>
            <w:r w:rsidRPr="11A23048">
              <w:rPr>
                <w:rFonts w:ascii="Arial" w:eastAsia="Arial" w:hAnsi="Arial" w:cs="Arial"/>
                <w:b/>
                <w:bCs/>
                <w:color w:val="000000" w:themeColor="text1"/>
              </w:rPr>
              <w:t>Control de cambios</w:t>
            </w:r>
          </w:p>
        </w:tc>
      </w:tr>
      <w:tr w:rsidR="11A23048" w14:paraId="15D4BC17" w14:textId="77777777" w:rsidTr="37F71DE0">
        <w:trPr>
          <w:trHeight w:val="300"/>
        </w:trPr>
        <w:tc>
          <w:tcPr>
            <w:tcW w:w="1759" w:type="dxa"/>
            <w:shd w:val="clear" w:color="auto" w:fill="33CCCC"/>
            <w:tcMar>
              <w:left w:w="105" w:type="dxa"/>
              <w:right w:w="105" w:type="dxa"/>
            </w:tcMar>
            <w:vAlign w:val="center"/>
          </w:tcPr>
          <w:p w14:paraId="68F4570A" w14:textId="6A7BE5DF" w:rsidR="11A23048" w:rsidRDefault="11A23048" w:rsidP="11A23048">
            <w:pPr>
              <w:rPr>
                <w:rFonts w:ascii="Arial" w:eastAsia="Arial" w:hAnsi="Arial" w:cs="Arial"/>
                <w:color w:val="000000" w:themeColor="text1"/>
              </w:rPr>
            </w:pPr>
            <w:r w:rsidRPr="11A23048">
              <w:rPr>
                <w:rFonts w:ascii="Arial" w:eastAsia="Arial" w:hAnsi="Arial" w:cs="Arial"/>
                <w:b/>
                <w:bCs/>
                <w:color w:val="000000" w:themeColor="text1"/>
              </w:rPr>
              <w:t>Versión</w:t>
            </w:r>
          </w:p>
        </w:tc>
        <w:tc>
          <w:tcPr>
            <w:tcW w:w="1759" w:type="dxa"/>
            <w:shd w:val="clear" w:color="auto" w:fill="33CCCC"/>
            <w:tcMar>
              <w:left w:w="105" w:type="dxa"/>
              <w:right w:w="105" w:type="dxa"/>
            </w:tcMar>
            <w:vAlign w:val="center"/>
          </w:tcPr>
          <w:p w14:paraId="648639B0" w14:textId="71D2D269" w:rsidR="11A23048" w:rsidRDefault="11A23048" w:rsidP="11A23048">
            <w:pPr>
              <w:rPr>
                <w:rFonts w:ascii="Arial" w:eastAsia="Arial" w:hAnsi="Arial" w:cs="Arial"/>
                <w:color w:val="000000" w:themeColor="text1"/>
              </w:rPr>
            </w:pPr>
            <w:r w:rsidRPr="11A23048">
              <w:rPr>
                <w:rFonts w:ascii="Arial" w:eastAsia="Arial" w:hAnsi="Arial" w:cs="Arial"/>
                <w:b/>
                <w:bCs/>
                <w:color w:val="000000" w:themeColor="text1"/>
              </w:rPr>
              <w:t>Fecha</w:t>
            </w:r>
          </w:p>
        </w:tc>
        <w:tc>
          <w:tcPr>
            <w:tcW w:w="9625" w:type="dxa"/>
            <w:gridSpan w:val="4"/>
            <w:shd w:val="clear" w:color="auto" w:fill="33CCCC"/>
            <w:tcMar>
              <w:left w:w="105" w:type="dxa"/>
              <w:right w:w="105" w:type="dxa"/>
            </w:tcMar>
            <w:vAlign w:val="center"/>
          </w:tcPr>
          <w:p w14:paraId="13CC635F" w14:textId="16D65CF2" w:rsidR="11A23048" w:rsidRDefault="11A23048" w:rsidP="11A23048">
            <w:pPr>
              <w:rPr>
                <w:rFonts w:ascii="Arial" w:eastAsia="Arial" w:hAnsi="Arial" w:cs="Arial"/>
                <w:color w:val="000000" w:themeColor="text1"/>
              </w:rPr>
            </w:pPr>
            <w:r w:rsidRPr="11A23048">
              <w:rPr>
                <w:rFonts w:ascii="Arial" w:eastAsia="Arial" w:hAnsi="Arial" w:cs="Arial"/>
                <w:b/>
                <w:bCs/>
                <w:color w:val="000000" w:themeColor="text1"/>
              </w:rPr>
              <w:t>Descripción de los cambios</w:t>
            </w:r>
          </w:p>
        </w:tc>
      </w:tr>
      <w:tr w:rsidR="11A23048" w14:paraId="11E1C6A6" w14:textId="77777777" w:rsidTr="37F71DE0">
        <w:trPr>
          <w:trHeight w:val="300"/>
        </w:trPr>
        <w:tc>
          <w:tcPr>
            <w:tcW w:w="1759" w:type="dxa"/>
            <w:tcMar>
              <w:left w:w="105" w:type="dxa"/>
              <w:right w:w="105" w:type="dxa"/>
            </w:tcMar>
            <w:vAlign w:val="center"/>
          </w:tcPr>
          <w:p w14:paraId="3024293B" w14:textId="5309EC3B" w:rsidR="11A23048" w:rsidRDefault="11A23048" w:rsidP="11A23048">
            <w:pPr>
              <w:rPr>
                <w:rFonts w:ascii="Arial" w:eastAsia="Arial" w:hAnsi="Arial" w:cs="Arial"/>
                <w:color w:val="000000" w:themeColor="text1"/>
              </w:rPr>
            </w:pPr>
            <w:r w:rsidRPr="11A23048">
              <w:rPr>
                <w:rFonts w:ascii="Arial" w:eastAsia="Arial" w:hAnsi="Arial" w:cs="Arial"/>
                <w:color w:val="000000" w:themeColor="text1"/>
              </w:rPr>
              <w:t xml:space="preserve">1 </w:t>
            </w:r>
          </w:p>
        </w:tc>
        <w:tc>
          <w:tcPr>
            <w:tcW w:w="1759" w:type="dxa"/>
            <w:tcMar>
              <w:left w:w="105" w:type="dxa"/>
              <w:right w:w="105" w:type="dxa"/>
            </w:tcMar>
            <w:vAlign w:val="center"/>
          </w:tcPr>
          <w:p w14:paraId="5758E21B" w14:textId="4BE98D5A" w:rsidR="11A23048" w:rsidRDefault="00E564BB" w:rsidP="11A23048">
            <w:pPr>
              <w:rPr>
                <w:rFonts w:ascii="Arial" w:eastAsia="Arial" w:hAnsi="Arial" w:cs="Arial"/>
                <w:color w:val="000000" w:themeColor="text1"/>
              </w:rPr>
            </w:pPr>
            <w:r>
              <w:rPr>
                <w:rFonts w:ascii="Arial" w:eastAsia="Arial" w:hAnsi="Arial" w:cs="Arial"/>
                <w:color w:val="000000" w:themeColor="text1"/>
              </w:rPr>
              <w:t>31/03/2026</w:t>
            </w:r>
          </w:p>
        </w:tc>
        <w:tc>
          <w:tcPr>
            <w:tcW w:w="9625" w:type="dxa"/>
            <w:gridSpan w:val="4"/>
            <w:tcMar>
              <w:left w:w="105" w:type="dxa"/>
              <w:right w:w="105" w:type="dxa"/>
            </w:tcMar>
            <w:vAlign w:val="center"/>
          </w:tcPr>
          <w:p w14:paraId="50719D50" w14:textId="507F8228" w:rsidR="11A23048" w:rsidRDefault="13BC5BE5" w:rsidP="37F71DE0">
            <w:pPr>
              <w:rPr>
                <w:rFonts w:ascii="Arial" w:eastAsia="Arial" w:hAnsi="Arial" w:cs="Arial"/>
                <w:color w:val="000000" w:themeColor="text1"/>
              </w:rPr>
            </w:pPr>
            <w:r w:rsidRPr="37F71DE0">
              <w:rPr>
                <w:rFonts w:ascii="Arial" w:eastAsia="Arial" w:hAnsi="Arial" w:cs="Arial"/>
                <w:color w:val="000000" w:themeColor="text1"/>
              </w:rPr>
              <w:t xml:space="preserve">Se genera el procedimiento a partir de la información documentada en el </w:t>
            </w:r>
            <w:r w:rsidR="11E14073" w:rsidRPr="37F71DE0">
              <w:rPr>
                <w:rStyle w:val="normaltextrun"/>
                <w:rFonts w:ascii="Arial" w:hAnsi="Arial" w:cs="Arial"/>
                <w:color w:val="000000" w:themeColor="text1"/>
              </w:rPr>
              <w:t>proceso Gestión Jurídica (GJPD01) en la actividad clave de éxito “</w:t>
            </w:r>
            <w:r w:rsidR="211178C0" w:rsidRPr="37F71DE0">
              <w:rPr>
                <w:rStyle w:val="normaltextrun"/>
                <w:rFonts w:ascii="Arial" w:hAnsi="Arial" w:cs="Arial"/>
                <w:color w:val="000000" w:themeColor="text1"/>
              </w:rPr>
              <w:t>S</w:t>
            </w:r>
            <w:r w:rsidR="11E14073" w:rsidRPr="37F71DE0">
              <w:rPr>
                <w:rStyle w:val="normaltextrun"/>
                <w:rFonts w:ascii="Arial" w:hAnsi="Arial" w:cs="Arial"/>
                <w:color w:val="000000" w:themeColor="text1"/>
              </w:rPr>
              <w:t xml:space="preserve">istematizar </w:t>
            </w:r>
            <w:r w:rsidR="3E72AA35" w:rsidRPr="37F71DE0">
              <w:rPr>
                <w:rStyle w:val="normaltextrun"/>
                <w:rFonts w:ascii="Arial" w:hAnsi="Arial" w:cs="Arial"/>
                <w:color w:val="000000" w:themeColor="text1"/>
              </w:rPr>
              <w:t xml:space="preserve">y registrar </w:t>
            </w:r>
            <w:r w:rsidR="11E14073" w:rsidRPr="37F71DE0">
              <w:rPr>
                <w:rStyle w:val="normaltextrun"/>
                <w:rFonts w:ascii="Arial" w:hAnsi="Arial" w:cs="Arial"/>
                <w:color w:val="000000" w:themeColor="text1"/>
              </w:rPr>
              <w:t xml:space="preserve">normas y </w:t>
            </w:r>
            <w:r w:rsidR="11E14073" w:rsidRPr="37F71DE0">
              <w:rPr>
                <w:rStyle w:val="normaltextrun"/>
                <w:rFonts w:ascii="Arial" w:hAnsi="Arial" w:cs="Arial"/>
                <w:color w:val="000000" w:themeColor="text1"/>
              </w:rPr>
              <w:lastRenderedPageBreak/>
              <w:t>jurisprudencia</w:t>
            </w:r>
            <w:r w:rsidR="153479F5" w:rsidRPr="37F71DE0">
              <w:rPr>
                <w:rStyle w:val="normaltextrun"/>
                <w:rFonts w:ascii="Arial" w:hAnsi="Arial" w:cs="Arial"/>
                <w:color w:val="000000" w:themeColor="text1"/>
              </w:rPr>
              <w:t xml:space="preserve"> y emitir boletines jurídicos</w:t>
            </w:r>
            <w:r w:rsidR="11E14073" w:rsidRPr="37F71DE0">
              <w:rPr>
                <w:rStyle w:val="normaltextrun"/>
                <w:rFonts w:ascii="Arial" w:hAnsi="Arial" w:cs="Arial"/>
                <w:color w:val="000000" w:themeColor="text1"/>
              </w:rPr>
              <w:t>”</w:t>
            </w:r>
            <w:r w:rsidRPr="37F71DE0">
              <w:rPr>
                <w:rFonts w:ascii="Arial" w:eastAsia="Arial" w:hAnsi="Arial" w:cs="Arial"/>
                <w:color w:val="000000" w:themeColor="text1"/>
              </w:rPr>
              <w:t>.  Las actividades establecidas en el diagrama tipo Bizagi se tomaron textualmente para crear cada una de las actividades del presente procedimiento sin que implique que su contenido de fondo se haya modificado respetando de esta manera el documento aprobado por el responsable. Adicionalmente, se suprime la codificación de los formatos y otros documentos enunciados conservando únicamente el nombre.</w:t>
            </w:r>
          </w:p>
          <w:p w14:paraId="56FDE6BE" w14:textId="579CDB23" w:rsidR="11A23048" w:rsidRDefault="11A23048" w:rsidP="11A23048">
            <w:pPr>
              <w:rPr>
                <w:rFonts w:ascii="Arial" w:eastAsia="Arial" w:hAnsi="Arial" w:cs="Arial"/>
                <w:color w:val="000000" w:themeColor="text1"/>
              </w:rPr>
            </w:pPr>
          </w:p>
          <w:p w14:paraId="16BF68D0" w14:textId="4223A051" w:rsidR="11A23048" w:rsidRDefault="11A23048" w:rsidP="11A23048">
            <w:pPr>
              <w:rPr>
                <w:rFonts w:ascii="Arial" w:eastAsia="Arial" w:hAnsi="Arial" w:cs="Arial"/>
                <w:color w:val="000000" w:themeColor="text1"/>
              </w:rPr>
            </w:pPr>
            <w:r w:rsidRPr="11A23048">
              <w:rPr>
                <w:rFonts w:ascii="Arial" w:eastAsia="Arial" w:hAnsi="Arial" w:cs="Arial"/>
                <w:color w:val="000000" w:themeColor="text1"/>
              </w:rPr>
              <w:t>Se actualiza el encabezado del documento de acuerdo con el nuevo Mapa de Procesos de la Superintendencia Nacional de Salud, actualizando el nombre del proceso, el código y la versión, la cual por cargue inicial en la aplicación tecnológica reinicia desde la versión 1. La consulta de la armonización documental en el marco del nuevo mapa de procesos y las versiones obsoletas de los documentos se encuentran bajo custodia de la Subdirección de tecnologías de la información de acuerdo con lo solicitado por la Oficina asesora de planeación mediante radicado 20251200200131673.</w:t>
            </w:r>
          </w:p>
          <w:p w14:paraId="7E9E5DE6" w14:textId="7CD95113" w:rsidR="11A23048" w:rsidRDefault="11A23048" w:rsidP="11A23048">
            <w:pPr>
              <w:rPr>
                <w:rFonts w:ascii="Arial" w:eastAsia="Arial" w:hAnsi="Arial" w:cs="Arial"/>
                <w:color w:val="000000" w:themeColor="text1"/>
              </w:rPr>
            </w:pPr>
          </w:p>
        </w:tc>
      </w:tr>
      <w:tr w:rsidR="11A23048" w14:paraId="23D933D0" w14:textId="77777777" w:rsidTr="37F71DE0">
        <w:trPr>
          <w:trHeight w:val="30"/>
        </w:trPr>
        <w:tc>
          <w:tcPr>
            <w:tcW w:w="3518" w:type="dxa"/>
            <w:gridSpan w:val="2"/>
            <w:shd w:val="clear" w:color="auto" w:fill="33CCCC"/>
            <w:tcMar>
              <w:left w:w="105" w:type="dxa"/>
              <w:right w:w="105" w:type="dxa"/>
            </w:tcMar>
            <w:vAlign w:val="center"/>
          </w:tcPr>
          <w:p w14:paraId="4F0E93CB" w14:textId="78B12300" w:rsidR="11A23048" w:rsidRDefault="11A23048" w:rsidP="11A23048">
            <w:pPr>
              <w:rPr>
                <w:rFonts w:ascii="Arial" w:eastAsia="Arial" w:hAnsi="Arial" w:cs="Arial"/>
                <w:color w:val="000000" w:themeColor="text1"/>
              </w:rPr>
            </w:pPr>
            <w:r w:rsidRPr="11A23048">
              <w:rPr>
                <w:rFonts w:ascii="Arial" w:eastAsia="Arial" w:hAnsi="Arial" w:cs="Arial"/>
                <w:b/>
                <w:bCs/>
                <w:color w:val="000000" w:themeColor="text1"/>
              </w:rPr>
              <w:lastRenderedPageBreak/>
              <w:t>Elaboró</w:t>
            </w:r>
          </w:p>
        </w:tc>
        <w:tc>
          <w:tcPr>
            <w:tcW w:w="3518" w:type="dxa"/>
            <w:gridSpan w:val="2"/>
            <w:shd w:val="clear" w:color="auto" w:fill="33CCCC"/>
            <w:tcMar>
              <w:left w:w="105" w:type="dxa"/>
              <w:right w:w="105" w:type="dxa"/>
            </w:tcMar>
            <w:vAlign w:val="center"/>
          </w:tcPr>
          <w:p w14:paraId="20BC6BE6" w14:textId="6A02D307" w:rsidR="11A23048" w:rsidRDefault="11A23048" w:rsidP="11A23048">
            <w:pPr>
              <w:rPr>
                <w:rFonts w:ascii="Arial" w:eastAsia="Arial" w:hAnsi="Arial" w:cs="Arial"/>
                <w:color w:val="000000" w:themeColor="text1"/>
              </w:rPr>
            </w:pPr>
            <w:r w:rsidRPr="11A23048">
              <w:rPr>
                <w:rFonts w:ascii="Arial" w:eastAsia="Arial" w:hAnsi="Arial" w:cs="Arial"/>
                <w:b/>
                <w:bCs/>
                <w:color w:val="000000" w:themeColor="text1"/>
              </w:rPr>
              <w:t>Revisó</w:t>
            </w:r>
          </w:p>
        </w:tc>
        <w:tc>
          <w:tcPr>
            <w:tcW w:w="6107" w:type="dxa"/>
            <w:gridSpan w:val="2"/>
            <w:shd w:val="clear" w:color="auto" w:fill="33CCCC"/>
            <w:tcMar>
              <w:left w:w="105" w:type="dxa"/>
              <w:right w:w="105" w:type="dxa"/>
            </w:tcMar>
            <w:vAlign w:val="center"/>
          </w:tcPr>
          <w:p w14:paraId="4457C675" w14:textId="4A5A66B2" w:rsidR="11A23048" w:rsidRDefault="11A23048" w:rsidP="11A23048">
            <w:pPr>
              <w:rPr>
                <w:rFonts w:ascii="Arial" w:eastAsia="Arial" w:hAnsi="Arial" w:cs="Arial"/>
                <w:color w:val="000000" w:themeColor="text1"/>
              </w:rPr>
            </w:pPr>
            <w:r w:rsidRPr="11A23048">
              <w:rPr>
                <w:rFonts w:ascii="Arial" w:eastAsia="Arial" w:hAnsi="Arial" w:cs="Arial"/>
                <w:b/>
                <w:bCs/>
                <w:color w:val="000000" w:themeColor="text1"/>
              </w:rPr>
              <w:t>Aprobó</w:t>
            </w:r>
          </w:p>
        </w:tc>
      </w:tr>
      <w:tr w:rsidR="11A23048" w14:paraId="61B9C660" w14:textId="77777777" w:rsidTr="37F71DE0">
        <w:trPr>
          <w:trHeight w:val="330"/>
        </w:trPr>
        <w:tc>
          <w:tcPr>
            <w:tcW w:w="1759" w:type="dxa"/>
            <w:tcMar>
              <w:left w:w="105" w:type="dxa"/>
              <w:right w:w="105" w:type="dxa"/>
            </w:tcMar>
            <w:vAlign w:val="center"/>
          </w:tcPr>
          <w:p w14:paraId="3FB751A2" w14:textId="1031A187" w:rsidR="11A23048" w:rsidRDefault="11A23048" w:rsidP="11A23048">
            <w:pPr>
              <w:rPr>
                <w:rFonts w:ascii="Arial" w:eastAsia="Arial" w:hAnsi="Arial" w:cs="Arial"/>
                <w:color w:val="000000" w:themeColor="text1"/>
              </w:rPr>
            </w:pPr>
            <w:r w:rsidRPr="11A23048">
              <w:rPr>
                <w:rFonts w:ascii="Arial" w:eastAsia="Arial" w:hAnsi="Arial" w:cs="Arial"/>
                <w:b/>
                <w:bCs/>
                <w:color w:val="000000" w:themeColor="text1"/>
              </w:rPr>
              <w:t>Nombre</w:t>
            </w:r>
          </w:p>
        </w:tc>
        <w:tc>
          <w:tcPr>
            <w:tcW w:w="1759" w:type="dxa"/>
            <w:vMerge w:val="restart"/>
            <w:tcMar>
              <w:left w:w="105" w:type="dxa"/>
              <w:right w:w="105" w:type="dxa"/>
            </w:tcMar>
            <w:vAlign w:val="center"/>
          </w:tcPr>
          <w:p w14:paraId="01AE8410" w14:textId="69797717" w:rsidR="11A23048" w:rsidRDefault="11A23048" w:rsidP="11A23048">
            <w:pPr>
              <w:rPr>
                <w:rFonts w:ascii="Arial" w:eastAsia="Arial" w:hAnsi="Arial" w:cs="Arial"/>
                <w:color w:val="000000" w:themeColor="text1"/>
              </w:rPr>
            </w:pPr>
            <w:r w:rsidRPr="11A23048">
              <w:rPr>
                <w:rFonts w:ascii="Arial" w:eastAsia="Arial" w:hAnsi="Arial" w:cs="Arial"/>
                <w:color w:val="000000" w:themeColor="text1"/>
              </w:rPr>
              <w:t>Información disponible en el SharePoint de la OAP a través del formato DEFT15</w:t>
            </w:r>
          </w:p>
        </w:tc>
        <w:tc>
          <w:tcPr>
            <w:tcW w:w="1759" w:type="dxa"/>
            <w:tcMar>
              <w:left w:w="105" w:type="dxa"/>
              <w:right w:w="105" w:type="dxa"/>
            </w:tcMar>
            <w:vAlign w:val="center"/>
          </w:tcPr>
          <w:p w14:paraId="77CFDEED" w14:textId="3687C89E" w:rsidR="11A23048" w:rsidRDefault="11A23048" w:rsidP="11A23048">
            <w:pPr>
              <w:rPr>
                <w:rFonts w:ascii="Arial" w:eastAsia="Arial" w:hAnsi="Arial" w:cs="Arial"/>
                <w:color w:val="000000" w:themeColor="text1"/>
              </w:rPr>
            </w:pPr>
            <w:r w:rsidRPr="11A23048">
              <w:rPr>
                <w:rFonts w:ascii="Arial" w:eastAsia="Arial" w:hAnsi="Arial" w:cs="Arial"/>
                <w:b/>
                <w:bCs/>
                <w:color w:val="000000" w:themeColor="text1"/>
              </w:rPr>
              <w:t>Nombre</w:t>
            </w:r>
          </w:p>
        </w:tc>
        <w:tc>
          <w:tcPr>
            <w:tcW w:w="1759" w:type="dxa"/>
            <w:vMerge w:val="restart"/>
            <w:tcMar>
              <w:left w:w="105" w:type="dxa"/>
              <w:right w:w="105" w:type="dxa"/>
            </w:tcMar>
            <w:vAlign w:val="center"/>
          </w:tcPr>
          <w:p w14:paraId="735D13C3" w14:textId="74C1AFD8" w:rsidR="11A23048" w:rsidRDefault="11A23048" w:rsidP="11A23048">
            <w:pPr>
              <w:rPr>
                <w:rFonts w:ascii="Arial" w:eastAsia="Arial" w:hAnsi="Arial" w:cs="Arial"/>
                <w:color w:val="000000" w:themeColor="text1"/>
              </w:rPr>
            </w:pPr>
            <w:r w:rsidRPr="11A23048">
              <w:rPr>
                <w:rFonts w:ascii="Arial" w:eastAsia="Arial" w:hAnsi="Arial" w:cs="Arial"/>
                <w:color w:val="000000" w:themeColor="text1"/>
              </w:rPr>
              <w:t>Información disponible en el SharePoint de la OAP a través del formato DEFT15</w:t>
            </w:r>
          </w:p>
        </w:tc>
        <w:tc>
          <w:tcPr>
            <w:tcW w:w="1759" w:type="dxa"/>
            <w:tcMar>
              <w:left w:w="105" w:type="dxa"/>
              <w:right w:w="105" w:type="dxa"/>
            </w:tcMar>
            <w:vAlign w:val="center"/>
          </w:tcPr>
          <w:p w14:paraId="73DDA866" w14:textId="65212DC1" w:rsidR="11A23048" w:rsidRDefault="11A23048" w:rsidP="11A23048">
            <w:pPr>
              <w:rPr>
                <w:rFonts w:ascii="Arial" w:eastAsia="Arial" w:hAnsi="Arial" w:cs="Arial"/>
                <w:color w:val="000000" w:themeColor="text1"/>
              </w:rPr>
            </w:pPr>
            <w:r w:rsidRPr="11A23048">
              <w:rPr>
                <w:rFonts w:ascii="Arial" w:eastAsia="Arial" w:hAnsi="Arial" w:cs="Arial"/>
                <w:b/>
                <w:bCs/>
                <w:color w:val="000000" w:themeColor="text1"/>
              </w:rPr>
              <w:t>Nombre</w:t>
            </w:r>
          </w:p>
        </w:tc>
        <w:tc>
          <w:tcPr>
            <w:tcW w:w="4348" w:type="dxa"/>
            <w:vMerge w:val="restart"/>
            <w:tcMar>
              <w:left w:w="105" w:type="dxa"/>
              <w:right w:w="105" w:type="dxa"/>
            </w:tcMar>
            <w:vAlign w:val="center"/>
          </w:tcPr>
          <w:p w14:paraId="3187616F" w14:textId="0F0E552E" w:rsidR="11A23048" w:rsidRDefault="11A23048" w:rsidP="11A23048">
            <w:pPr>
              <w:rPr>
                <w:rFonts w:ascii="Arial" w:eastAsia="Arial" w:hAnsi="Arial" w:cs="Arial"/>
                <w:color w:val="000000" w:themeColor="text1"/>
              </w:rPr>
            </w:pPr>
            <w:r w:rsidRPr="11A23048">
              <w:rPr>
                <w:rFonts w:ascii="Arial" w:eastAsia="Arial" w:hAnsi="Arial" w:cs="Arial"/>
                <w:color w:val="000000" w:themeColor="text1"/>
              </w:rPr>
              <w:t>Información disponible en el SharePoint de la OAP a través del formato DEFT15</w:t>
            </w:r>
          </w:p>
        </w:tc>
      </w:tr>
      <w:tr w:rsidR="11A23048" w14:paraId="337E018E" w14:textId="77777777" w:rsidTr="37F71DE0">
        <w:trPr>
          <w:trHeight w:val="345"/>
        </w:trPr>
        <w:tc>
          <w:tcPr>
            <w:tcW w:w="1759" w:type="dxa"/>
            <w:tcMar>
              <w:left w:w="105" w:type="dxa"/>
              <w:right w:w="105" w:type="dxa"/>
            </w:tcMar>
            <w:vAlign w:val="center"/>
          </w:tcPr>
          <w:p w14:paraId="1EBFED00" w14:textId="72D99292" w:rsidR="11A23048" w:rsidRDefault="11A23048" w:rsidP="11A23048">
            <w:pPr>
              <w:rPr>
                <w:rFonts w:ascii="Arial" w:eastAsia="Arial" w:hAnsi="Arial" w:cs="Arial"/>
                <w:color w:val="000000" w:themeColor="text1"/>
              </w:rPr>
            </w:pPr>
            <w:r w:rsidRPr="11A23048">
              <w:rPr>
                <w:rFonts w:ascii="Arial" w:eastAsia="Arial" w:hAnsi="Arial" w:cs="Arial"/>
                <w:b/>
                <w:bCs/>
                <w:color w:val="000000" w:themeColor="text1"/>
              </w:rPr>
              <w:t>Cargo</w:t>
            </w:r>
          </w:p>
        </w:tc>
        <w:tc>
          <w:tcPr>
            <w:tcW w:w="1759" w:type="dxa"/>
            <w:vMerge/>
            <w:vAlign w:val="center"/>
          </w:tcPr>
          <w:p w14:paraId="61F5603C" w14:textId="77777777" w:rsidR="009B7F35" w:rsidRDefault="009B7F35"/>
        </w:tc>
        <w:tc>
          <w:tcPr>
            <w:tcW w:w="1759" w:type="dxa"/>
            <w:tcMar>
              <w:left w:w="105" w:type="dxa"/>
              <w:right w:w="105" w:type="dxa"/>
            </w:tcMar>
            <w:vAlign w:val="center"/>
          </w:tcPr>
          <w:p w14:paraId="525CE5A8" w14:textId="20F86D30" w:rsidR="11A23048" w:rsidRDefault="11A23048" w:rsidP="11A23048">
            <w:pPr>
              <w:rPr>
                <w:rFonts w:ascii="Arial" w:eastAsia="Arial" w:hAnsi="Arial" w:cs="Arial"/>
                <w:color w:val="000000" w:themeColor="text1"/>
              </w:rPr>
            </w:pPr>
            <w:r w:rsidRPr="11A23048">
              <w:rPr>
                <w:rFonts w:ascii="Arial" w:eastAsia="Arial" w:hAnsi="Arial" w:cs="Arial"/>
                <w:b/>
                <w:bCs/>
                <w:color w:val="000000" w:themeColor="text1"/>
              </w:rPr>
              <w:t>Cargo</w:t>
            </w:r>
          </w:p>
        </w:tc>
        <w:tc>
          <w:tcPr>
            <w:tcW w:w="1759" w:type="dxa"/>
            <w:vMerge/>
            <w:vAlign w:val="center"/>
          </w:tcPr>
          <w:p w14:paraId="3AAEE930" w14:textId="77777777" w:rsidR="009B7F35" w:rsidRDefault="009B7F35"/>
        </w:tc>
        <w:tc>
          <w:tcPr>
            <w:tcW w:w="1759" w:type="dxa"/>
            <w:tcMar>
              <w:left w:w="105" w:type="dxa"/>
              <w:right w:w="105" w:type="dxa"/>
            </w:tcMar>
            <w:vAlign w:val="center"/>
          </w:tcPr>
          <w:p w14:paraId="0B116EC8" w14:textId="7032133E" w:rsidR="11A23048" w:rsidRDefault="11A23048" w:rsidP="11A23048">
            <w:pPr>
              <w:rPr>
                <w:rFonts w:ascii="Arial" w:eastAsia="Arial" w:hAnsi="Arial" w:cs="Arial"/>
                <w:color w:val="000000" w:themeColor="text1"/>
              </w:rPr>
            </w:pPr>
            <w:r w:rsidRPr="11A23048">
              <w:rPr>
                <w:rFonts w:ascii="Arial" w:eastAsia="Arial" w:hAnsi="Arial" w:cs="Arial"/>
                <w:b/>
                <w:bCs/>
                <w:color w:val="000000" w:themeColor="text1"/>
              </w:rPr>
              <w:t>Cargo</w:t>
            </w:r>
          </w:p>
        </w:tc>
        <w:tc>
          <w:tcPr>
            <w:tcW w:w="4348" w:type="dxa"/>
            <w:vMerge/>
            <w:vAlign w:val="center"/>
          </w:tcPr>
          <w:p w14:paraId="1D36362A" w14:textId="77777777" w:rsidR="009B7F35" w:rsidRDefault="009B7F35"/>
        </w:tc>
      </w:tr>
      <w:tr w:rsidR="11A23048" w14:paraId="5E713B16" w14:textId="77777777" w:rsidTr="37F71DE0">
        <w:trPr>
          <w:trHeight w:val="330"/>
        </w:trPr>
        <w:tc>
          <w:tcPr>
            <w:tcW w:w="1759" w:type="dxa"/>
            <w:tcMar>
              <w:left w:w="105" w:type="dxa"/>
              <w:right w:w="105" w:type="dxa"/>
            </w:tcMar>
            <w:vAlign w:val="center"/>
          </w:tcPr>
          <w:p w14:paraId="364FA143" w14:textId="5B6B571D" w:rsidR="11A23048" w:rsidRDefault="11A23048" w:rsidP="11A23048">
            <w:pPr>
              <w:rPr>
                <w:rFonts w:ascii="Arial" w:eastAsia="Arial" w:hAnsi="Arial" w:cs="Arial"/>
                <w:color w:val="000000" w:themeColor="text1"/>
              </w:rPr>
            </w:pPr>
            <w:r w:rsidRPr="11A23048">
              <w:rPr>
                <w:rFonts w:ascii="Arial" w:eastAsia="Arial" w:hAnsi="Arial" w:cs="Arial"/>
                <w:b/>
                <w:bCs/>
                <w:color w:val="000000" w:themeColor="text1"/>
              </w:rPr>
              <w:t>Fecha</w:t>
            </w:r>
          </w:p>
        </w:tc>
        <w:tc>
          <w:tcPr>
            <w:tcW w:w="1759" w:type="dxa"/>
            <w:vMerge/>
            <w:vAlign w:val="center"/>
          </w:tcPr>
          <w:p w14:paraId="3C13E03E" w14:textId="77777777" w:rsidR="009B7F35" w:rsidRDefault="009B7F35"/>
        </w:tc>
        <w:tc>
          <w:tcPr>
            <w:tcW w:w="1759" w:type="dxa"/>
            <w:tcMar>
              <w:left w:w="105" w:type="dxa"/>
              <w:right w:w="105" w:type="dxa"/>
            </w:tcMar>
            <w:vAlign w:val="center"/>
          </w:tcPr>
          <w:p w14:paraId="212670E0" w14:textId="443AA744" w:rsidR="11A23048" w:rsidRDefault="11A23048" w:rsidP="11A23048">
            <w:pPr>
              <w:rPr>
                <w:rFonts w:ascii="Arial" w:eastAsia="Arial" w:hAnsi="Arial" w:cs="Arial"/>
                <w:color w:val="000000" w:themeColor="text1"/>
              </w:rPr>
            </w:pPr>
            <w:r w:rsidRPr="11A23048">
              <w:rPr>
                <w:rFonts w:ascii="Arial" w:eastAsia="Arial" w:hAnsi="Arial" w:cs="Arial"/>
                <w:b/>
                <w:bCs/>
                <w:color w:val="000000" w:themeColor="text1"/>
              </w:rPr>
              <w:t>Fecha</w:t>
            </w:r>
          </w:p>
        </w:tc>
        <w:tc>
          <w:tcPr>
            <w:tcW w:w="1759" w:type="dxa"/>
            <w:vMerge/>
            <w:vAlign w:val="center"/>
          </w:tcPr>
          <w:p w14:paraId="3EC7CEEC" w14:textId="77777777" w:rsidR="009B7F35" w:rsidRDefault="009B7F35"/>
        </w:tc>
        <w:tc>
          <w:tcPr>
            <w:tcW w:w="1759" w:type="dxa"/>
            <w:tcMar>
              <w:left w:w="105" w:type="dxa"/>
              <w:right w:w="105" w:type="dxa"/>
            </w:tcMar>
            <w:vAlign w:val="center"/>
          </w:tcPr>
          <w:p w14:paraId="6CDD028F" w14:textId="0E052AFB" w:rsidR="11A23048" w:rsidRDefault="11A23048" w:rsidP="11A23048">
            <w:pPr>
              <w:rPr>
                <w:rFonts w:ascii="Arial" w:eastAsia="Arial" w:hAnsi="Arial" w:cs="Arial"/>
                <w:color w:val="000000" w:themeColor="text1"/>
              </w:rPr>
            </w:pPr>
            <w:r w:rsidRPr="11A23048">
              <w:rPr>
                <w:rFonts w:ascii="Arial" w:eastAsia="Arial" w:hAnsi="Arial" w:cs="Arial"/>
                <w:b/>
                <w:bCs/>
                <w:color w:val="000000" w:themeColor="text1"/>
              </w:rPr>
              <w:t>Fecha</w:t>
            </w:r>
          </w:p>
        </w:tc>
        <w:tc>
          <w:tcPr>
            <w:tcW w:w="4348" w:type="dxa"/>
            <w:vMerge/>
            <w:vAlign w:val="center"/>
          </w:tcPr>
          <w:p w14:paraId="23513E66" w14:textId="77777777" w:rsidR="009B7F35" w:rsidRDefault="009B7F35"/>
        </w:tc>
      </w:tr>
    </w:tbl>
    <w:p w14:paraId="46344582" w14:textId="096D6E98" w:rsidR="11A23048" w:rsidRDefault="11A23048" w:rsidP="11A23048">
      <w:pPr>
        <w:spacing w:after="0" w:line="360" w:lineRule="auto"/>
        <w:rPr>
          <w:rFonts w:ascii="Arial" w:hAnsi="Arial" w:cs="Arial"/>
          <w:color w:val="000000" w:themeColor="text1"/>
          <w:sz w:val="24"/>
          <w:szCs w:val="24"/>
        </w:rPr>
      </w:pPr>
    </w:p>
    <w:p w14:paraId="2D8B741C" w14:textId="318F4117" w:rsidR="11A23048" w:rsidRDefault="11A23048" w:rsidP="11A23048">
      <w:pPr>
        <w:spacing w:after="0" w:line="360" w:lineRule="auto"/>
        <w:rPr>
          <w:rFonts w:ascii="Arial" w:hAnsi="Arial" w:cs="Arial"/>
          <w:color w:val="000000" w:themeColor="text1"/>
          <w:sz w:val="24"/>
          <w:szCs w:val="24"/>
        </w:rPr>
      </w:pPr>
    </w:p>
    <w:p w14:paraId="7E4EF0B4" w14:textId="77777777" w:rsidR="00E27E65" w:rsidRDefault="00E27E65">
      <w:pPr>
        <w:rPr>
          <w:rFonts w:ascii="Arial" w:hAnsi="Arial" w:cs="Arial"/>
          <w:i/>
          <w:iCs/>
          <w:color w:val="AEAAAA" w:themeColor="background2" w:themeShade="BF"/>
          <w:shd w:val="clear" w:color="auto" w:fill="FFFFFF"/>
        </w:rPr>
      </w:pPr>
    </w:p>
    <w:p w14:paraId="17BFD451" w14:textId="07B2E10A" w:rsidR="004A58CA" w:rsidRDefault="004A58CA" w:rsidP="00862357">
      <w:pPr>
        <w:rPr>
          <w:rFonts w:ascii="Arial" w:hAnsi="Arial" w:cs="Arial"/>
          <w:i/>
          <w:iCs/>
          <w:color w:val="AEAAAA" w:themeColor="background2" w:themeShade="BF"/>
          <w:shd w:val="clear" w:color="auto" w:fill="FFFFFF"/>
        </w:rPr>
      </w:pPr>
    </w:p>
    <w:p w14:paraId="70C992DB" w14:textId="77777777" w:rsidR="00B838F9" w:rsidRDefault="00B838F9" w:rsidP="00862357">
      <w:pPr>
        <w:rPr>
          <w:rFonts w:ascii="Arial" w:hAnsi="Arial" w:cs="Arial"/>
          <w:i/>
          <w:iCs/>
          <w:color w:val="AEAAAA" w:themeColor="background2" w:themeShade="BF"/>
          <w:shd w:val="clear" w:color="auto" w:fill="FFFFFF"/>
        </w:rPr>
      </w:pPr>
    </w:p>
    <w:p w14:paraId="1C03218F" w14:textId="4B2A1843" w:rsidR="00B838F9" w:rsidRPr="00B838F9" w:rsidRDefault="00B838F9" w:rsidP="00B838F9"/>
    <w:p w14:paraId="15839259" w14:textId="77777777" w:rsidR="00B838F9" w:rsidRPr="00BB5666" w:rsidRDefault="00B838F9" w:rsidP="00862357">
      <w:pPr>
        <w:rPr>
          <w:rFonts w:ascii="Arial" w:hAnsi="Arial" w:cs="Arial"/>
          <w:i/>
          <w:iCs/>
          <w:color w:val="AEAAAA" w:themeColor="background2" w:themeShade="BF"/>
          <w:shd w:val="clear" w:color="auto" w:fill="FFFFFF"/>
        </w:rPr>
      </w:pPr>
    </w:p>
    <w:sectPr w:rsidR="00B838F9" w:rsidRPr="00BB5666" w:rsidSect="00903DFA">
      <w:headerReference w:type="default" r:id="rId11"/>
      <w:footerReference w:type="default" r:id="rId12"/>
      <w:pgSz w:w="15840" w:h="12240" w:orient="landscape"/>
      <w:pgMar w:top="1701" w:right="1417" w:bottom="1701" w:left="1417" w:header="70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5AAA2" w14:textId="77777777" w:rsidR="00284DE1" w:rsidRDefault="00284DE1" w:rsidP="00781A83">
      <w:pPr>
        <w:spacing w:after="0" w:line="240" w:lineRule="auto"/>
      </w:pPr>
      <w:r>
        <w:separator/>
      </w:r>
    </w:p>
  </w:endnote>
  <w:endnote w:type="continuationSeparator" w:id="0">
    <w:p w14:paraId="4A0E1B02" w14:textId="77777777" w:rsidR="00284DE1" w:rsidRDefault="00284DE1" w:rsidP="00781A83">
      <w:pPr>
        <w:spacing w:after="0" w:line="240" w:lineRule="auto"/>
      </w:pPr>
      <w:r>
        <w:continuationSeparator/>
      </w:r>
    </w:p>
  </w:endnote>
  <w:endnote w:type="continuationNotice" w:id="1">
    <w:p w14:paraId="187B173C" w14:textId="77777777" w:rsidR="00284DE1" w:rsidRDefault="00284D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110616285"/>
      <w:docPartObj>
        <w:docPartGallery w:val="Page Numbers (Bottom of Page)"/>
        <w:docPartUnique/>
      </w:docPartObj>
    </w:sdtPr>
    <w:sdtContent>
      <w:sdt>
        <w:sdtPr>
          <w:rPr>
            <w:rFonts w:ascii="Arial" w:hAnsi="Arial" w:cs="Arial"/>
            <w:sz w:val="18"/>
            <w:szCs w:val="18"/>
          </w:rPr>
          <w:id w:val="-1769616900"/>
          <w:docPartObj>
            <w:docPartGallery w:val="Page Numbers (Top of Page)"/>
            <w:docPartUnique/>
          </w:docPartObj>
        </w:sdtPr>
        <w:sdtContent>
          <w:p w14:paraId="52635B65" w14:textId="2AA14EC9" w:rsidR="00D34ABC" w:rsidRPr="0054483B" w:rsidRDefault="00D34ABC">
            <w:pPr>
              <w:pStyle w:val="Piedepgina"/>
              <w:jc w:val="right"/>
              <w:rPr>
                <w:rFonts w:ascii="Arial" w:hAnsi="Arial" w:cs="Arial"/>
                <w:sz w:val="18"/>
                <w:szCs w:val="18"/>
              </w:rPr>
            </w:pPr>
            <w:r w:rsidRPr="0054483B">
              <w:rPr>
                <w:rFonts w:ascii="Arial" w:hAnsi="Arial" w:cs="Arial"/>
                <w:sz w:val="18"/>
                <w:szCs w:val="18"/>
                <w:lang w:val="es-ES"/>
              </w:rPr>
              <w:t xml:space="preserve">Página </w:t>
            </w:r>
            <w:r w:rsidRPr="0054483B">
              <w:rPr>
                <w:rFonts w:ascii="Arial" w:hAnsi="Arial" w:cs="Arial"/>
                <w:b/>
                <w:bCs/>
                <w:sz w:val="18"/>
                <w:szCs w:val="18"/>
              </w:rPr>
              <w:fldChar w:fldCharType="begin"/>
            </w:r>
            <w:r w:rsidRPr="0054483B">
              <w:rPr>
                <w:rFonts w:ascii="Arial" w:hAnsi="Arial" w:cs="Arial"/>
                <w:b/>
                <w:bCs/>
                <w:sz w:val="18"/>
                <w:szCs w:val="18"/>
              </w:rPr>
              <w:instrText>PAGE</w:instrText>
            </w:r>
            <w:r w:rsidRPr="0054483B">
              <w:rPr>
                <w:rFonts w:ascii="Arial" w:hAnsi="Arial" w:cs="Arial"/>
                <w:b/>
                <w:bCs/>
                <w:sz w:val="18"/>
                <w:szCs w:val="18"/>
              </w:rPr>
              <w:fldChar w:fldCharType="separate"/>
            </w:r>
            <w:r w:rsidRPr="0054483B">
              <w:rPr>
                <w:rFonts w:ascii="Arial" w:hAnsi="Arial" w:cs="Arial"/>
                <w:b/>
                <w:bCs/>
                <w:sz w:val="18"/>
                <w:szCs w:val="18"/>
                <w:lang w:val="es-ES"/>
              </w:rPr>
              <w:t>2</w:t>
            </w:r>
            <w:r w:rsidRPr="0054483B">
              <w:rPr>
                <w:rFonts w:ascii="Arial" w:hAnsi="Arial" w:cs="Arial"/>
                <w:b/>
                <w:bCs/>
                <w:sz w:val="18"/>
                <w:szCs w:val="18"/>
              </w:rPr>
              <w:fldChar w:fldCharType="end"/>
            </w:r>
            <w:r w:rsidRPr="0054483B">
              <w:rPr>
                <w:rFonts w:ascii="Arial" w:hAnsi="Arial" w:cs="Arial"/>
                <w:sz w:val="18"/>
                <w:szCs w:val="18"/>
                <w:lang w:val="es-ES"/>
              </w:rPr>
              <w:t xml:space="preserve"> de </w:t>
            </w:r>
            <w:r w:rsidRPr="0054483B">
              <w:rPr>
                <w:rFonts w:ascii="Arial" w:hAnsi="Arial" w:cs="Arial"/>
                <w:b/>
                <w:bCs/>
                <w:sz w:val="18"/>
                <w:szCs w:val="18"/>
              </w:rPr>
              <w:fldChar w:fldCharType="begin"/>
            </w:r>
            <w:r w:rsidRPr="0054483B">
              <w:rPr>
                <w:rFonts w:ascii="Arial" w:hAnsi="Arial" w:cs="Arial"/>
                <w:b/>
                <w:bCs/>
                <w:sz w:val="18"/>
                <w:szCs w:val="18"/>
              </w:rPr>
              <w:instrText>NUMPAGES</w:instrText>
            </w:r>
            <w:r w:rsidRPr="0054483B">
              <w:rPr>
                <w:rFonts w:ascii="Arial" w:hAnsi="Arial" w:cs="Arial"/>
                <w:b/>
                <w:bCs/>
                <w:sz w:val="18"/>
                <w:szCs w:val="18"/>
              </w:rPr>
              <w:fldChar w:fldCharType="separate"/>
            </w:r>
            <w:r w:rsidRPr="0054483B">
              <w:rPr>
                <w:rFonts w:ascii="Arial" w:hAnsi="Arial" w:cs="Arial"/>
                <w:b/>
                <w:bCs/>
                <w:sz w:val="18"/>
                <w:szCs w:val="18"/>
                <w:lang w:val="es-ES"/>
              </w:rPr>
              <w:t>2</w:t>
            </w:r>
            <w:r w:rsidRPr="0054483B">
              <w:rPr>
                <w:rFonts w:ascii="Arial" w:hAnsi="Arial" w:cs="Arial"/>
                <w:b/>
                <w:bCs/>
                <w:sz w:val="18"/>
                <w:szCs w:val="18"/>
              </w:rPr>
              <w:fldChar w:fldCharType="end"/>
            </w:r>
          </w:p>
        </w:sdtContent>
      </w:sdt>
    </w:sdtContent>
  </w:sdt>
  <w:p w14:paraId="65152CF3" w14:textId="62F12663" w:rsidR="000911BE" w:rsidRDefault="000911B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F8DA2" w14:textId="77777777" w:rsidR="00284DE1" w:rsidRDefault="00284DE1" w:rsidP="00781A83">
      <w:pPr>
        <w:spacing w:after="0" w:line="240" w:lineRule="auto"/>
      </w:pPr>
      <w:r>
        <w:separator/>
      </w:r>
    </w:p>
  </w:footnote>
  <w:footnote w:type="continuationSeparator" w:id="0">
    <w:p w14:paraId="4B7B2B7A" w14:textId="77777777" w:rsidR="00284DE1" w:rsidRDefault="00284DE1" w:rsidP="00781A83">
      <w:pPr>
        <w:spacing w:after="0" w:line="240" w:lineRule="auto"/>
      </w:pPr>
      <w:r>
        <w:continuationSeparator/>
      </w:r>
    </w:p>
  </w:footnote>
  <w:footnote w:type="continuationNotice" w:id="1">
    <w:p w14:paraId="5CD66892" w14:textId="77777777" w:rsidR="00284DE1" w:rsidRDefault="00284DE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3975" w:type="dxa"/>
      <w:tblInd w:w="-506" w:type="dxa"/>
      <w:tblLook w:val="04A0" w:firstRow="1" w:lastRow="0" w:firstColumn="1" w:lastColumn="0" w:noHBand="0" w:noVBand="1"/>
    </w:tblPr>
    <w:tblGrid>
      <w:gridCol w:w="2486"/>
      <w:gridCol w:w="7943"/>
      <w:gridCol w:w="1632"/>
      <w:gridCol w:w="1914"/>
    </w:tblGrid>
    <w:tr w:rsidR="00781A83" w:rsidRPr="00781A83" w14:paraId="601C8519" w14:textId="77777777" w:rsidTr="1F97622D">
      <w:trPr>
        <w:trHeight w:val="412"/>
      </w:trPr>
      <w:tc>
        <w:tcPr>
          <w:tcW w:w="2486" w:type="dxa"/>
          <w:tcBorders>
            <w:bottom w:val="nil"/>
          </w:tcBorders>
        </w:tcPr>
        <w:p w14:paraId="38DE6ADD" w14:textId="1079847C" w:rsidR="00781A83" w:rsidRPr="00781A83" w:rsidRDefault="00781A83" w:rsidP="00781A83">
          <w:pPr>
            <w:tabs>
              <w:tab w:val="center" w:pos="4419"/>
              <w:tab w:val="right" w:pos="8838"/>
            </w:tabs>
            <w:spacing w:before="240"/>
            <w:rPr>
              <w:rFonts w:ascii="Arial" w:hAnsi="Arial" w:cs="Arial"/>
              <w:b/>
              <w:bCs/>
            </w:rPr>
          </w:pPr>
        </w:p>
      </w:tc>
      <w:tc>
        <w:tcPr>
          <w:tcW w:w="7943" w:type="dxa"/>
          <w:vAlign w:val="center"/>
        </w:tcPr>
        <w:p w14:paraId="47B676C1" w14:textId="0A001E23" w:rsidR="00781A83" w:rsidRPr="00781A83" w:rsidRDefault="1F97622D" w:rsidP="00B1733C">
          <w:pPr>
            <w:tabs>
              <w:tab w:val="center" w:pos="4419"/>
              <w:tab w:val="right" w:pos="8838"/>
            </w:tabs>
            <w:jc w:val="center"/>
            <w:rPr>
              <w:rFonts w:ascii="Arial" w:hAnsi="Arial" w:cs="Arial"/>
              <w:b/>
              <w:bCs/>
            </w:rPr>
          </w:pPr>
          <w:r w:rsidRPr="1F97622D">
            <w:rPr>
              <w:rFonts w:ascii="Arial" w:hAnsi="Arial" w:cs="Arial"/>
              <w:b/>
              <w:bCs/>
            </w:rPr>
            <w:t>GESTIÓN JURÍDICA</w:t>
          </w:r>
        </w:p>
      </w:tc>
      <w:tc>
        <w:tcPr>
          <w:tcW w:w="1632" w:type="dxa"/>
          <w:vAlign w:val="center"/>
        </w:tcPr>
        <w:p w14:paraId="3DF6951E" w14:textId="77777777" w:rsidR="00781A83" w:rsidRPr="00781A83" w:rsidRDefault="00781A83" w:rsidP="00B1733C">
          <w:pPr>
            <w:tabs>
              <w:tab w:val="center" w:pos="4419"/>
              <w:tab w:val="right" w:pos="8838"/>
            </w:tabs>
            <w:jc w:val="center"/>
            <w:rPr>
              <w:rFonts w:ascii="Arial" w:hAnsi="Arial" w:cs="Arial"/>
              <w:b/>
              <w:bCs/>
              <w:sz w:val="20"/>
              <w:szCs w:val="20"/>
            </w:rPr>
          </w:pPr>
          <w:r w:rsidRPr="00781A83">
            <w:rPr>
              <w:rFonts w:ascii="Arial" w:hAnsi="Arial" w:cs="Arial"/>
              <w:b/>
              <w:bCs/>
              <w:sz w:val="20"/>
              <w:szCs w:val="20"/>
            </w:rPr>
            <w:t>CÓDIGO</w:t>
          </w:r>
        </w:p>
      </w:tc>
      <w:tc>
        <w:tcPr>
          <w:tcW w:w="1914" w:type="dxa"/>
          <w:vAlign w:val="center"/>
        </w:tcPr>
        <w:p w14:paraId="029C9560" w14:textId="03F83F76" w:rsidR="11A23048" w:rsidRDefault="11A23048" w:rsidP="11A23048">
          <w:pPr>
            <w:jc w:val="center"/>
            <w:rPr>
              <w:rFonts w:ascii="Aptos Display" w:eastAsia="Aptos Display" w:hAnsi="Aptos Display" w:cs="Aptos Display"/>
              <w:b/>
              <w:bCs/>
            </w:rPr>
          </w:pPr>
          <w:r w:rsidRPr="11A23048">
            <w:rPr>
              <w:rFonts w:ascii="Aptos Display" w:eastAsia="Aptos Display" w:hAnsi="Aptos Display" w:cs="Aptos Display"/>
              <w:b/>
              <w:bCs/>
            </w:rPr>
            <w:t>A5-PD-9</w:t>
          </w:r>
        </w:p>
      </w:tc>
    </w:tr>
    <w:tr w:rsidR="00781A83" w:rsidRPr="00781A83" w14:paraId="0BA42DA7" w14:textId="77777777" w:rsidTr="1F97622D">
      <w:trPr>
        <w:trHeight w:val="491"/>
      </w:trPr>
      <w:tc>
        <w:tcPr>
          <w:tcW w:w="2486" w:type="dxa"/>
          <w:tcBorders>
            <w:top w:val="nil"/>
            <w:bottom w:val="nil"/>
          </w:tcBorders>
        </w:tcPr>
        <w:p w14:paraId="412B0738" w14:textId="20DC52A1" w:rsidR="00781A83" w:rsidRPr="00781A83" w:rsidRDefault="00E13C65" w:rsidP="00781A83">
          <w:pPr>
            <w:tabs>
              <w:tab w:val="center" w:pos="4419"/>
              <w:tab w:val="right" w:pos="8838"/>
            </w:tabs>
            <w:spacing w:before="240"/>
            <w:rPr>
              <w:rFonts w:ascii="Arial" w:hAnsi="Arial" w:cs="Arial"/>
              <w:b/>
              <w:bCs/>
            </w:rPr>
          </w:pPr>
          <w:r w:rsidRPr="002E6EDE">
            <w:rPr>
              <w:rFonts w:cs="Arial"/>
              <w:b/>
              <w:bCs/>
              <w:noProof/>
            </w:rPr>
            <w:drawing>
              <wp:anchor distT="0" distB="0" distL="114300" distR="114300" simplePos="0" relativeHeight="251658240" behindDoc="0" locked="0" layoutInCell="1" allowOverlap="1" wp14:anchorId="1DA001B3" wp14:editId="6E1C6CB4">
                <wp:simplePos x="0" y="0"/>
                <wp:positionH relativeFrom="column">
                  <wp:posOffset>47595</wp:posOffset>
                </wp:positionH>
                <wp:positionV relativeFrom="paragraph">
                  <wp:posOffset>-264499</wp:posOffset>
                </wp:positionV>
                <wp:extent cx="1374775" cy="819150"/>
                <wp:effectExtent l="0" t="0" r="0" b="0"/>
                <wp:wrapNone/>
                <wp:docPr id="559334950" name="Imagen 5593349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n 23">
                          <a:extLst>
                            <a:ext uri="{C183D7F6-B498-43B3-948B-1728B52AA6E4}">
                              <adec:decorative xmlns:adec="http://schemas.microsoft.com/office/drawing/2017/decorative" val="1"/>
                            </a:ext>
                          </a:extLst>
                        </pic:cNvPr>
                        <pic:cNvPicPr>
                          <a:picLocks noChangeAspect="1" noChangeArrowheads="1"/>
                        </pic:cNvPicPr>
                      </pic:nvPicPr>
                      <pic:blipFill rotWithShape="1">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t="-3321" b="-5256"/>
                        <a:stretch/>
                      </pic:blipFill>
                      <pic:spPr bwMode="auto">
                        <a:xfrm>
                          <a:off x="0" y="0"/>
                          <a:ext cx="1374775" cy="8191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7943" w:type="dxa"/>
          <w:vMerge w:val="restart"/>
          <w:vAlign w:val="center"/>
        </w:tcPr>
        <w:p w14:paraId="195DF2E4" w14:textId="249EB60D" w:rsidR="00781A83" w:rsidRPr="0053063C" w:rsidRDefault="719FD79F" w:rsidP="719FD79F">
          <w:pPr>
            <w:tabs>
              <w:tab w:val="center" w:pos="4419"/>
              <w:tab w:val="right" w:pos="8838"/>
            </w:tabs>
            <w:ind w:left="708"/>
            <w:jc w:val="center"/>
            <w:rPr>
              <w:rFonts w:ascii="Arial" w:eastAsia="Arial" w:hAnsi="Arial" w:cs="Arial"/>
              <w:b/>
              <w:bCs/>
            </w:rPr>
          </w:pPr>
          <w:r w:rsidRPr="0053063C">
            <w:rPr>
              <w:rFonts w:ascii="Arial" w:hAnsi="Arial" w:cs="Arial"/>
              <w:b/>
              <w:bCs/>
            </w:rPr>
            <w:t xml:space="preserve">PROCEDIMIENTO </w:t>
          </w:r>
          <w:r w:rsidR="0053063C" w:rsidRPr="0053063C">
            <w:rPr>
              <w:rFonts w:ascii="Arial" w:eastAsia="Arial" w:hAnsi="Arial" w:cs="Arial"/>
              <w:b/>
              <w:bCs/>
            </w:rPr>
            <w:t>SISTEMATIZAR Y REGISTRAR NORMAS Y JURISPRUDENCIA Y EMITIR BOLETINES JURÍDICOS</w:t>
          </w:r>
        </w:p>
        <w:p w14:paraId="2AC0C1D7" w14:textId="698811BB" w:rsidR="00781A83" w:rsidRPr="00781A83" w:rsidRDefault="00781A83" w:rsidP="00A80442">
          <w:pPr>
            <w:tabs>
              <w:tab w:val="center" w:pos="4419"/>
              <w:tab w:val="right" w:pos="8838"/>
            </w:tabs>
            <w:jc w:val="center"/>
            <w:rPr>
              <w:rFonts w:ascii="Arial" w:hAnsi="Arial" w:cs="Arial"/>
              <w:b/>
              <w:bCs/>
            </w:rPr>
          </w:pPr>
        </w:p>
      </w:tc>
      <w:tc>
        <w:tcPr>
          <w:tcW w:w="1632" w:type="dxa"/>
          <w:vAlign w:val="center"/>
        </w:tcPr>
        <w:p w14:paraId="3FD92E6C" w14:textId="77777777" w:rsidR="00781A83" w:rsidRPr="00781A83" w:rsidRDefault="00781A83" w:rsidP="00B1733C">
          <w:pPr>
            <w:tabs>
              <w:tab w:val="center" w:pos="4419"/>
              <w:tab w:val="right" w:pos="8838"/>
            </w:tabs>
            <w:jc w:val="center"/>
            <w:rPr>
              <w:rFonts w:ascii="Arial" w:hAnsi="Arial" w:cs="Arial"/>
              <w:b/>
              <w:bCs/>
              <w:sz w:val="20"/>
              <w:szCs w:val="20"/>
            </w:rPr>
          </w:pPr>
          <w:r w:rsidRPr="00781A83">
            <w:rPr>
              <w:rFonts w:ascii="Arial" w:hAnsi="Arial" w:cs="Arial"/>
              <w:b/>
              <w:bCs/>
              <w:sz w:val="20"/>
              <w:szCs w:val="20"/>
            </w:rPr>
            <w:t>VERSIÓN</w:t>
          </w:r>
        </w:p>
      </w:tc>
      <w:tc>
        <w:tcPr>
          <w:tcW w:w="1914" w:type="dxa"/>
          <w:vAlign w:val="center"/>
        </w:tcPr>
        <w:p w14:paraId="09D6AC7F" w14:textId="3B176DF8" w:rsidR="00781A83" w:rsidRPr="00617183" w:rsidRDefault="37F71DE0" w:rsidP="11A23048">
          <w:pPr>
            <w:tabs>
              <w:tab w:val="center" w:pos="4419"/>
              <w:tab w:val="right" w:pos="8838"/>
            </w:tabs>
            <w:jc w:val="center"/>
            <w:rPr>
              <w:rFonts w:ascii="Arial" w:hAnsi="Arial" w:cs="Arial"/>
              <w:b/>
              <w:bCs/>
              <w:sz w:val="20"/>
              <w:szCs w:val="20"/>
            </w:rPr>
          </w:pPr>
          <w:r w:rsidRPr="37F71DE0">
            <w:rPr>
              <w:rFonts w:ascii="Arial" w:hAnsi="Arial" w:cs="Arial"/>
              <w:b/>
              <w:bCs/>
              <w:sz w:val="20"/>
              <w:szCs w:val="20"/>
            </w:rPr>
            <w:t>1</w:t>
          </w:r>
        </w:p>
      </w:tc>
    </w:tr>
    <w:tr w:rsidR="00781A83" w:rsidRPr="00781A83" w14:paraId="49D2DAAB" w14:textId="77777777" w:rsidTr="1F97622D">
      <w:trPr>
        <w:trHeight w:val="288"/>
      </w:trPr>
      <w:tc>
        <w:tcPr>
          <w:tcW w:w="2486" w:type="dxa"/>
          <w:tcBorders>
            <w:top w:val="nil"/>
          </w:tcBorders>
        </w:tcPr>
        <w:p w14:paraId="347804E9" w14:textId="77777777" w:rsidR="00781A83" w:rsidRPr="00781A83" w:rsidRDefault="00781A83" w:rsidP="00781A83">
          <w:pPr>
            <w:tabs>
              <w:tab w:val="center" w:pos="4419"/>
              <w:tab w:val="right" w:pos="8838"/>
            </w:tabs>
            <w:spacing w:before="240"/>
            <w:rPr>
              <w:rFonts w:ascii="Arial" w:hAnsi="Arial" w:cs="Arial"/>
              <w:b/>
              <w:bCs/>
            </w:rPr>
          </w:pPr>
        </w:p>
      </w:tc>
      <w:tc>
        <w:tcPr>
          <w:tcW w:w="7943" w:type="dxa"/>
          <w:vMerge/>
          <w:vAlign w:val="center"/>
        </w:tcPr>
        <w:p w14:paraId="7B611CAF" w14:textId="77777777" w:rsidR="00781A83" w:rsidRPr="00781A83" w:rsidRDefault="00781A83" w:rsidP="00B1733C">
          <w:pPr>
            <w:tabs>
              <w:tab w:val="center" w:pos="4419"/>
              <w:tab w:val="right" w:pos="8838"/>
            </w:tabs>
            <w:jc w:val="center"/>
            <w:rPr>
              <w:rFonts w:ascii="Arial" w:hAnsi="Arial" w:cs="Arial"/>
              <w:b/>
              <w:bCs/>
            </w:rPr>
          </w:pPr>
        </w:p>
      </w:tc>
      <w:tc>
        <w:tcPr>
          <w:tcW w:w="1632" w:type="dxa"/>
          <w:vAlign w:val="center"/>
        </w:tcPr>
        <w:p w14:paraId="57964EB3" w14:textId="77777777" w:rsidR="00781A83" w:rsidRPr="00781A83" w:rsidRDefault="00781A83" w:rsidP="00B1733C">
          <w:pPr>
            <w:tabs>
              <w:tab w:val="center" w:pos="4419"/>
              <w:tab w:val="right" w:pos="8838"/>
            </w:tabs>
            <w:jc w:val="center"/>
            <w:rPr>
              <w:rFonts w:ascii="Arial" w:hAnsi="Arial" w:cs="Arial"/>
              <w:b/>
              <w:bCs/>
              <w:sz w:val="20"/>
              <w:szCs w:val="20"/>
            </w:rPr>
          </w:pPr>
          <w:r w:rsidRPr="00781A83">
            <w:rPr>
              <w:rFonts w:ascii="Arial" w:hAnsi="Arial" w:cs="Arial"/>
              <w:b/>
              <w:bCs/>
              <w:sz w:val="20"/>
              <w:szCs w:val="20"/>
            </w:rPr>
            <w:t>FECHA</w:t>
          </w:r>
        </w:p>
      </w:tc>
      <w:tc>
        <w:tcPr>
          <w:tcW w:w="1914" w:type="dxa"/>
          <w:vAlign w:val="center"/>
        </w:tcPr>
        <w:p w14:paraId="3C55FCDF" w14:textId="6E9C8DBA" w:rsidR="00781A83" w:rsidRPr="00781A83" w:rsidRDefault="69AAA67A" w:rsidP="11A23048">
          <w:pPr>
            <w:tabs>
              <w:tab w:val="center" w:pos="4419"/>
              <w:tab w:val="right" w:pos="8838"/>
            </w:tabs>
            <w:jc w:val="center"/>
            <w:rPr>
              <w:rFonts w:ascii="Arial" w:hAnsi="Arial" w:cs="Arial"/>
              <w:b/>
              <w:bCs/>
              <w:sz w:val="20"/>
              <w:szCs w:val="20"/>
            </w:rPr>
          </w:pPr>
          <w:r w:rsidRPr="69AAA67A">
            <w:rPr>
              <w:rFonts w:ascii="Arial" w:hAnsi="Arial" w:cs="Arial"/>
              <w:b/>
              <w:bCs/>
              <w:sz w:val="20"/>
              <w:szCs w:val="20"/>
            </w:rPr>
            <w:t>31/03/2026</w:t>
          </w:r>
        </w:p>
      </w:tc>
    </w:tr>
  </w:tbl>
  <w:p w14:paraId="35D82137" w14:textId="77777777" w:rsidR="00781A83" w:rsidRDefault="00781A8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47508"/>
    <w:multiLevelType w:val="hybridMultilevel"/>
    <w:tmpl w:val="082E17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8A94D3E"/>
    <w:multiLevelType w:val="hybridMultilevel"/>
    <w:tmpl w:val="182828C4"/>
    <w:lvl w:ilvl="0" w:tplc="298EA3FE">
      <w:start w:val="10"/>
      <w:numFmt w:val="decimal"/>
      <w:lvlText w:val="%1."/>
      <w:lvlJc w:val="left"/>
      <w:pPr>
        <w:ind w:left="720" w:hanging="360"/>
      </w:pPr>
    </w:lvl>
    <w:lvl w:ilvl="1" w:tplc="C308C27E">
      <w:start w:val="1"/>
      <w:numFmt w:val="lowerLetter"/>
      <w:lvlText w:val="%2."/>
      <w:lvlJc w:val="left"/>
      <w:pPr>
        <w:ind w:left="1440" w:hanging="360"/>
      </w:pPr>
    </w:lvl>
    <w:lvl w:ilvl="2" w:tplc="0AF480EE">
      <w:start w:val="1"/>
      <w:numFmt w:val="lowerRoman"/>
      <w:lvlText w:val="%3."/>
      <w:lvlJc w:val="right"/>
      <w:pPr>
        <w:ind w:left="2160" w:hanging="180"/>
      </w:pPr>
    </w:lvl>
    <w:lvl w:ilvl="3" w:tplc="BE044EB0">
      <w:start w:val="1"/>
      <w:numFmt w:val="decimal"/>
      <w:lvlText w:val="%4."/>
      <w:lvlJc w:val="left"/>
      <w:pPr>
        <w:ind w:left="2880" w:hanging="360"/>
      </w:pPr>
    </w:lvl>
    <w:lvl w:ilvl="4" w:tplc="319CAFC0">
      <w:start w:val="1"/>
      <w:numFmt w:val="lowerLetter"/>
      <w:lvlText w:val="%5."/>
      <w:lvlJc w:val="left"/>
      <w:pPr>
        <w:ind w:left="3600" w:hanging="360"/>
      </w:pPr>
    </w:lvl>
    <w:lvl w:ilvl="5" w:tplc="DEA89062">
      <w:start w:val="1"/>
      <w:numFmt w:val="lowerRoman"/>
      <w:lvlText w:val="%6."/>
      <w:lvlJc w:val="right"/>
      <w:pPr>
        <w:ind w:left="4320" w:hanging="180"/>
      </w:pPr>
    </w:lvl>
    <w:lvl w:ilvl="6" w:tplc="A1581D6E">
      <w:start w:val="1"/>
      <w:numFmt w:val="decimal"/>
      <w:lvlText w:val="%7."/>
      <w:lvlJc w:val="left"/>
      <w:pPr>
        <w:ind w:left="5040" w:hanging="360"/>
      </w:pPr>
    </w:lvl>
    <w:lvl w:ilvl="7" w:tplc="8A94C07A">
      <w:start w:val="1"/>
      <w:numFmt w:val="lowerLetter"/>
      <w:lvlText w:val="%8."/>
      <w:lvlJc w:val="left"/>
      <w:pPr>
        <w:ind w:left="5760" w:hanging="360"/>
      </w:pPr>
    </w:lvl>
    <w:lvl w:ilvl="8" w:tplc="A7107DEA">
      <w:start w:val="1"/>
      <w:numFmt w:val="lowerRoman"/>
      <w:lvlText w:val="%9."/>
      <w:lvlJc w:val="right"/>
      <w:pPr>
        <w:ind w:left="6480" w:hanging="180"/>
      </w:pPr>
    </w:lvl>
  </w:abstractNum>
  <w:abstractNum w:abstractNumId="2" w15:restartNumberingAfterBreak="0">
    <w:nsid w:val="6E0B01A3"/>
    <w:multiLevelType w:val="hybridMultilevel"/>
    <w:tmpl w:val="724A1A54"/>
    <w:lvl w:ilvl="0" w:tplc="6346F9AE">
      <w:start w:val="10"/>
      <w:numFmt w:val="decimal"/>
      <w:lvlText w:val="%1."/>
      <w:lvlJc w:val="left"/>
      <w:pPr>
        <w:ind w:left="720" w:hanging="360"/>
      </w:pPr>
    </w:lvl>
    <w:lvl w:ilvl="1" w:tplc="11BA637E">
      <w:start w:val="1"/>
      <w:numFmt w:val="lowerLetter"/>
      <w:lvlText w:val="%2."/>
      <w:lvlJc w:val="left"/>
      <w:pPr>
        <w:ind w:left="1440" w:hanging="360"/>
      </w:pPr>
    </w:lvl>
    <w:lvl w:ilvl="2" w:tplc="4C0E2AE0">
      <w:start w:val="1"/>
      <w:numFmt w:val="lowerRoman"/>
      <w:lvlText w:val="%3."/>
      <w:lvlJc w:val="right"/>
      <w:pPr>
        <w:ind w:left="2160" w:hanging="180"/>
      </w:pPr>
    </w:lvl>
    <w:lvl w:ilvl="3" w:tplc="58F05FB4">
      <w:start w:val="1"/>
      <w:numFmt w:val="decimal"/>
      <w:lvlText w:val="%4."/>
      <w:lvlJc w:val="left"/>
      <w:pPr>
        <w:ind w:left="2880" w:hanging="360"/>
      </w:pPr>
    </w:lvl>
    <w:lvl w:ilvl="4" w:tplc="04FEDFF6">
      <w:start w:val="1"/>
      <w:numFmt w:val="lowerLetter"/>
      <w:lvlText w:val="%5."/>
      <w:lvlJc w:val="left"/>
      <w:pPr>
        <w:ind w:left="3600" w:hanging="360"/>
      </w:pPr>
    </w:lvl>
    <w:lvl w:ilvl="5" w:tplc="5A1C6CF4">
      <w:start w:val="1"/>
      <w:numFmt w:val="lowerRoman"/>
      <w:lvlText w:val="%6."/>
      <w:lvlJc w:val="right"/>
      <w:pPr>
        <w:ind w:left="4320" w:hanging="180"/>
      </w:pPr>
    </w:lvl>
    <w:lvl w:ilvl="6" w:tplc="2CFC187C">
      <w:start w:val="1"/>
      <w:numFmt w:val="decimal"/>
      <w:lvlText w:val="%7."/>
      <w:lvlJc w:val="left"/>
      <w:pPr>
        <w:ind w:left="5040" w:hanging="360"/>
      </w:pPr>
    </w:lvl>
    <w:lvl w:ilvl="7" w:tplc="CFAA5070">
      <w:start w:val="1"/>
      <w:numFmt w:val="lowerLetter"/>
      <w:lvlText w:val="%8."/>
      <w:lvlJc w:val="left"/>
      <w:pPr>
        <w:ind w:left="5760" w:hanging="360"/>
      </w:pPr>
    </w:lvl>
    <w:lvl w:ilvl="8" w:tplc="6510B560">
      <w:start w:val="1"/>
      <w:numFmt w:val="lowerRoman"/>
      <w:lvlText w:val="%9."/>
      <w:lvlJc w:val="right"/>
      <w:pPr>
        <w:ind w:left="6480" w:hanging="180"/>
      </w:pPr>
    </w:lvl>
  </w:abstractNum>
  <w:abstractNum w:abstractNumId="3" w15:restartNumberingAfterBreak="0">
    <w:nsid w:val="7DA909E0"/>
    <w:multiLevelType w:val="hybridMultilevel"/>
    <w:tmpl w:val="387E94D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16cid:durableId="1413234725">
    <w:abstractNumId w:val="1"/>
  </w:num>
  <w:num w:numId="2" w16cid:durableId="1741635471">
    <w:abstractNumId w:val="2"/>
  </w:num>
  <w:num w:numId="3" w16cid:durableId="647054434">
    <w:abstractNumId w:val="0"/>
  </w:num>
  <w:num w:numId="4" w16cid:durableId="11484791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A83"/>
    <w:rsid w:val="00012832"/>
    <w:rsid w:val="00017E6C"/>
    <w:rsid w:val="00022B28"/>
    <w:rsid w:val="00080E46"/>
    <w:rsid w:val="000911BE"/>
    <w:rsid w:val="000B4078"/>
    <w:rsid w:val="000C3B29"/>
    <w:rsid w:val="000D4C44"/>
    <w:rsid w:val="00100BB9"/>
    <w:rsid w:val="00110DE6"/>
    <w:rsid w:val="00134D11"/>
    <w:rsid w:val="00134DC7"/>
    <w:rsid w:val="00136313"/>
    <w:rsid w:val="00142511"/>
    <w:rsid w:val="00153C22"/>
    <w:rsid w:val="00164C0D"/>
    <w:rsid w:val="00193717"/>
    <w:rsid w:val="001A69C4"/>
    <w:rsid w:val="001B7166"/>
    <w:rsid w:val="001C0C07"/>
    <w:rsid w:val="001D031D"/>
    <w:rsid w:val="001E3926"/>
    <w:rsid w:val="001E7A16"/>
    <w:rsid w:val="001F43F9"/>
    <w:rsid w:val="00203B8B"/>
    <w:rsid w:val="00210FD3"/>
    <w:rsid w:val="00215231"/>
    <w:rsid w:val="00220018"/>
    <w:rsid w:val="00234EFE"/>
    <w:rsid w:val="0023679E"/>
    <w:rsid w:val="00245200"/>
    <w:rsid w:val="00246161"/>
    <w:rsid w:val="0024781B"/>
    <w:rsid w:val="002525A8"/>
    <w:rsid w:val="00253BA2"/>
    <w:rsid w:val="00260892"/>
    <w:rsid w:val="002670AF"/>
    <w:rsid w:val="002723E2"/>
    <w:rsid w:val="00284DE1"/>
    <w:rsid w:val="002A5125"/>
    <w:rsid w:val="002B38A4"/>
    <w:rsid w:val="002B3D5C"/>
    <w:rsid w:val="002C4B01"/>
    <w:rsid w:val="002C5DFD"/>
    <w:rsid w:val="002E4B4F"/>
    <w:rsid w:val="002F728A"/>
    <w:rsid w:val="0030784E"/>
    <w:rsid w:val="003131BE"/>
    <w:rsid w:val="00327E08"/>
    <w:rsid w:val="00337812"/>
    <w:rsid w:val="00351805"/>
    <w:rsid w:val="003531CA"/>
    <w:rsid w:val="003537F8"/>
    <w:rsid w:val="00363DED"/>
    <w:rsid w:val="00364948"/>
    <w:rsid w:val="00365E1C"/>
    <w:rsid w:val="00370767"/>
    <w:rsid w:val="003756D0"/>
    <w:rsid w:val="003862EF"/>
    <w:rsid w:val="00391895"/>
    <w:rsid w:val="003963E7"/>
    <w:rsid w:val="003A287D"/>
    <w:rsid w:val="003A7D0A"/>
    <w:rsid w:val="003B4D9A"/>
    <w:rsid w:val="003C071F"/>
    <w:rsid w:val="003C0FE4"/>
    <w:rsid w:val="003C32AF"/>
    <w:rsid w:val="003C5097"/>
    <w:rsid w:val="00426A8C"/>
    <w:rsid w:val="004277C3"/>
    <w:rsid w:val="0044048A"/>
    <w:rsid w:val="00444D26"/>
    <w:rsid w:val="00446B1D"/>
    <w:rsid w:val="004616B6"/>
    <w:rsid w:val="00462FA9"/>
    <w:rsid w:val="00475A7E"/>
    <w:rsid w:val="00490AEE"/>
    <w:rsid w:val="00496B70"/>
    <w:rsid w:val="004A58CA"/>
    <w:rsid w:val="004B770A"/>
    <w:rsid w:val="004C0743"/>
    <w:rsid w:val="004C6011"/>
    <w:rsid w:val="004D6DD4"/>
    <w:rsid w:val="004E0B04"/>
    <w:rsid w:val="004E3EE7"/>
    <w:rsid w:val="004E73ED"/>
    <w:rsid w:val="005058D3"/>
    <w:rsid w:val="005129B1"/>
    <w:rsid w:val="00525130"/>
    <w:rsid w:val="0053063C"/>
    <w:rsid w:val="005353EF"/>
    <w:rsid w:val="005405A4"/>
    <w:rsid w:val="00543DDD"/>
    <w:rsid w:val="0054483B"/>
    <w:rsid w:val="005601E4"/>
    <w:rsid w:val="00567CEE"/>
    <w:rsid w:val="005718D6"/>
    <w:rsid w:val="00581990"/>
    <w:rsid w:val="00585EF8"/>
    <w:rsid w:val="005961D9"/>
    <w:rsid w:val="0059679B"/>
    <w:rsid w:val="005A3C90"/>
    <w:rsid w:val="005B4B49"/>
    <w:rsid w:val="005C1C2D"/>
    <w:rsid w:val="005D3042"/>
    <w:rsid w:val="005E0831"/>
    <w:rsid w:val="005E2D32"/>
    <w:rsid w:val="005E7F1C"/>
    <w:rsid w:val="005F0BB4"/>
    <w:rsid w:val="005F5451"/>
    <w:rsid w:val="0060404B"/>
    <w:rsid w:val="00606858"/>
    <w:rsid w:val="00617183"/>
    <w:rsid w:val="006213F8"/>
    <w:rsid w:val="00632623"/>
    <w:rsid w:val="00643883"/>
    <w:rsid w:val="00654CE9"/>
    <w:rsid w:val="00665D48"/>
    <w:rsid w:val="006829E7"/>
    <w:rsid w:val="006B72B2"/>
    <w:rsid w:val="006B7F6A"/>
    <w:rsid w:val="006F771E"/>
    <w:rsid w:val="007120B3"/>
    <w:rsid w:val="00712734"/>
    <w:rsid w:val="00712CA6"/>
    <w:rsid w:val="00722549"/>
    <w:rsid w:val="00725ABE"/>
    <w:rsid w:val="00754079"/>
    <w:rsid w:val="0076470A"/>
    <w:rsid w:val="00775B09"/>
    <w:rsid w:val="00780F20"/>
    <w:rsid w:val="00781A83"/>
    <w:rsid w:val="00792347"/>
    <w:rsid w:val="007A6C20"/>
    <w:rsid w:val="007B36DD"/>
    <w:rsid w:val="007B75A0"/>
    <w:rsid w:val="007B7BF7"/>
    <w:rsid w:val="007D68C3"/>
    <w:rsid w:val="007E2E39"/>
    <w:rsid w:val="007E334D"/>
    <w:rsid w:val="007E6BFB"/>
    <w:rsid w:val="007F26BC"/>
    <w:rsid w:val="007F31BC"/>
    <w:rsid w:val="007F475E"/>
    <w:rsid w:val="007F671A"/>
    <w:rsid w:val="00803AF7"/>
    <w:rsid w:val="008155B2"/>
    <w:rsid w:val="00823192"/>
    <w:rsid w:val="00825B0C"/>
    <w:rsid w:val="00832688"/>
    <w:rsid w:val="00844042"/>
    <w:rsid w:val="00850A22"/>
    <w:rsid w:val="00862357"/>
    <w:rsid w:val="00865718"/>
    <w:rsid w:val="008702F7"/>
    <w:rsid w:val="00875C0B"/>
    <w:rsid w:val="008914B1"/>
    <w:rsid w:val="008952A9"/>
    <w:rsid w:val="00895D93"/>
    <w:rsid w:val="008A40F0"/>
    <w:rsid w:val="008A529B"/>
    <w:rsid w:val="008A66BC"/>
    <w:rsid w:val="008B4610"/>
    <w:rsid w:val="008C62DE"/>
    <w:rsid w:val="008C7B7E"/>
    <w:rsid w:val="008D0159"/>
    <w:rsid w:val="008E2C67"/>
    <w:rsid w:val="008E3C55"/>
    <w:rsid w:val="008E5C52"/>
    <w:rsid w:val="00903DFA"/>
    <w:rsid w:val="00904F14"/>
    <w:rsid w:val="00905FE6"/>
    <w:rsid w:val="00925335"/>
    <w:rsid w:val="0093563D"/>
    <w:rsid w:val="00937F42"/>
    <w:rsid w:val="00953356"/>
    <w:rsid w:val="00955475"/>
    <w:rsid w:val="00963798"/>
    <w:rsid w:val="00983D17"/>
    <w:rsid w:val="0099412B"/>
    <w:rsid w:val="009A1764"/>
    <w:rsid w:val="009B00BA"/>
    <w:rsid w:val="009B7F35"/>
    <w:rsid w:val="009C48B8"/>
    <w:rsid w:val="009F0F86"/>
    <w:rsid w:val="009F75EA"/>
    <w:rsid w:val="00A16D93"/>
    <w:rsid w:val="00A424BC"/>
    <w:rsid w:val="00A44A79"/>
    <w:rsid w:val="00A516EF"/>
    <w:rsid w:val="00A55E0E"/>
    <w:rsid w:val="00A61AC5"/>
    <w:rsid w:val="00A65735"/>
    <w:rsid w:val="00A67260"/>
    <w:rsid w:val="00A80442"/>
    <w:rsid w:val="00A81908"/>
    <w:rsid w:val="00A83BEB"/>
    <w:rsid w:val="00A855BF"/>
    <w:rsid w:val="00A90B3A"/>
    <w:rsid w:val="00A910A5"/>
    <w:rsid w:val="00AA040E"/>
    <w:rsid w:val="00AA6B16"/>
    <w:rsid w:val="00AC2B97"/>
    <w:rsid w:val="00AD2175"/>
    <w:rsid w:val="00AE4BD1"/>
    <w:rsid w:val="00AF55EA"/>
    <w:rsid w:val="00AF7D06"/>
    <w:rsid w:val="00B0688C"/>
    <w:rsid w:val="00B1733C"/>
    <w:rsid w:val="00B207E4"/>
    <w:rsid w:val="00B26358"/>
    <w:rsid w:val="00B373FF"/>
    <w:rsid w:val="00B43E75"/>
    <w:rsid w:val="00B44DF0"/>
    <w:rsid w:val="00B838F9"/>
    <w:rsid w:val="00B85AEE"/>
    <w:rsid w:val="00B86243"/>
    <w:rsid w:val="00B918A0"/>
    <w:rsid w:val="00BB074F"/>
    <w:rsid w:val="00BB5666"/>
    <w:rsid w:val="00BB6F60"/>
    <w:rsid w:val="00BB7790"/>
    <w:rsid w:val="00BC3926"/>
    <w:rsid w:val="00BD4075"/>
    <w:rsid w:val="00BF655C"/>
    <w:rsid w:val="00C02560"/>
    <w:rsid w:val="00C108A8"/>
    <w:rsid w:val="00C11EAF"/>
    <w:rsid w:val="00C13446"/>
    <w:rsid w:val="00C30DFD"/>
    <w:rsid w:val="00C40439"/>
    <w:rsid w:val="00C41D2B"/>
    <w:rsid w:val="00C559CD"/>
    <w:rsid w:val="00C733A8"/>
    <w:rsid w:val="00C83DC4"/>
    <w:rsid w:val="00C8476A"/>
    <w:rsid w:val="00C939C5"/>
    <w:rsid w:val="00CA3FE2"/>
    <w:rsid w:val="00CB2B73"/>
    <w:rsid w:val="00CC4357"/>
    <w:rsid w:val="00CE0D33"/>
    <w:rsid w:val="00CE1DDD"/>
    <w:rsid w:val="00CE2EE8"/>
    <w:rsid w:val="00CE2F3C"/>
    <w:rsid w:val="00CF08EC"/>
    <w:rsid w:val="00CF1BFC"/>
    <w:rsid w:val="00D1711B"/>
    <w:rsid w:val="00D34ABC"/>
    <w:rsid w:val="00D5226E"/>
    <w:rsid w:val="00D540D4"/>
    <w:rsid w:val="00D670B4"/>
    <w:rsid w:val="00D921E9"/>
    <w:rsid w:val="00D9357B"/>
    <w:rsid w:val="00DB00DD"/>
    <w:rsid w:val="00DC07A3"/>
    <w:rsid w:val="00DD229F"/>
    <w:rsid w:val="00DE0E88"/>
    <w:rsid w:val="00DE26C2"/>
    <w:rsid w:val="00DE3139"/>
    <w:rsid w:val="00DF4760"/>
    <w:rsid w:val="00DF653E"/>
    <w:rsid w:val="00DF6608"/>
    <w:rsid w:val="00DF7D87"/>
    <w:rsid w:val="00E064FB"/>
    <w:rsid w:val="00E112DF"/>
    <w:rsid w:val="00E123A3"/>
    <w:rsid w:val="00E13A50"/>
    <w:rsid w:val="00E13C65"/>
    <w:rsid w:val="00E15836"/>
    <w:rsid w:val="00E1727F"/>
    <w:rsid w:val="00E27E65"/>
    <w:rsid w:val="00E336FA"/>
    <w:rsid w:val="00E52B64"/>
    <w:rsid w:val="00E5311C"/>
    <w:rsid w:val="00E564BB"/>
    <w:rsid w:val="00E60910"/>
    <w:rsid w:val="00E6100A"/>
    <w:rsid w:val="00E66531"/>
    <w:rsid w:val="00E668A5"/>
    <w:rsid w:val="00E72AFA"/>
    <w:rsid w:val="00E81CA6"/>
    <w:rsid w:val="00E8302E"/>
    <w:rsid w:val="00E87174"/>
    <w:rsid w:val="00EA0E6B"/>
    <w:rsid w:val="00EC510E"/>
    <w:rsid w:val="00ED57F3"/>
    <w:rsid w:val="00EF33F3"/>
    <w:rsid w:val="00F05A82"/>
    <w:rsid w:val="00F062FF"/>
    <w:rsid w:val="00F215F3"/>
    <w:rsid w:val="00F23750"/>
    <w:rsid w:val="00F305C9"/>
    <w:rsid w:val="00F3657B"/>
    <w:rsid w:val="00F37311"/>
    <w:rsid w:val="00F60382"/>
    <w:rsid w:val="00F76AC8"/>
    <w:rsid w:val="00F8026F"/>
    <w:rsid w:val="00F80C30"/>
    <w:rsid w:val="00F82D24"/>
    <w:rsid w:val="00F8639D"/>
    <w:rsid w:val="00F915E7"/>
    <w:rsid w:val="00F9194E"/>
    <w:rsid w:val="00FA52CD"/>
    <w:rsid w:val="00FC1756"/>
    <w:rsid w:val="00FD5B16"/>
    <w:rsid w:val="00FE0D16"/>
    <w:rsid w:val="00FF2C1C"/>
    <w:rsid w:val="00FF37F3"/>
    <w:rsid w:val="04881FFF"/>
    <w:rsid w:val="082CEEF7"/>
    <w:rsid w:val="11A23048"/>
    <w:rsid w:val="11E14073"/>
    <w:rsid w:val="13BC5BE5"/>
    <w:rsid w:val="153479F5"/>
    <w:rsid w:val="1F97622D"/>
    <w:rsid w:val="211178C0"/>
    <w:rsid w:val="251DB31D"/>
    <w:rsid w:val="3497A9A6"/>
    <w:rsid w:val="37F71DE0"/>
    <w:rsid w:val="3A7D3BE3"/>
    <w:rsid w:val="3D8323BB"/>
    <w:rsid w:val="3E72AA35"/>
    <w:rsid w:val="42717D6D"/>
    <w:rsid w:val="4EA912AF"/>
    <w:rsid w:val="4F74D0ED"/>
    <w:rsid w:val="68B536D0"/>
    <w:rsid w:val="69AAA67A"/>
    <w:rsid w:val="6D2E7E45"/>
    <w:rsid w:val="719FD79F"/>
    <w:rsid w:val="734A136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359F98"/>
  <w15:chartTrackingRefBased/>
  <w15:docId w15:val="{D5E0D257-B95D-491B-B79E-A4704DC8F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81A8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A8044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81A8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81A83"/>
  </w:style>
  <w:style w:type="paragraph" w:styleId="Piedepgina">
    <w:name w:val="footer"/>
    <w:basedOn w:val="Normal"/>
    <w:link w:val="PiedepginaCar"/>
    <w:uiPriority w:val="99"/>
    <w:unhideWhenUsed/>
    <w:rsid w:val="00781A8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81A83"/>
  </w:style>
  <w:style w:type="table" w:styleId="Tablaconcuadrcula">
    <w:name w:val="Table Grid"/>
    <w:basedOn w:val="Tablanormal"/>
    <w:uiPriority w:val="59"/>
    <w:rsid w:val="00781A83"/>
    <w:pPr>
      <w:spacing w:after="0" w:line="240" w:lineRule="auto"/>
    </w:pPr>
    <w:rPr>
      <w:rFonts w:eastAsia="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781A83"/>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semiHidden/>
    <w:rsid w:val="00A80442"/>
    <w:rPr>
      <w:rFonts w:asciiTheme="majorHAnsi" w:eastAsiaTheme="majorEastAsia" w:hAnsiTheme="majorHAnsi" w:cstheme="majorBidi"/>
      <w:color w:val="2F5496" w:themeColor="accent1" w:themeShade="BF"/>
      <w:sz w:val="26"/>
      <w:szCs w:val="26"/>
    </w:rPr>
  </w:style>
  <w:style w:type="character" w:styleId="Hipervnculo">
    <w:name w:val="Hyperlink"/>
    <w:basedOn w:val="Fuentedeprrafopredeter"/>
    <w:uiPriority w:val="99"/>
    <w:unhideWhenUsed/>
    <w:rsid w:val="00DF7D87"/>
    <w:rPr>
      <w:color w:val="0563C1" w:themeColor="hyperlink"/>
      <w:u w:val="single"/>
    </w:rPr>
  </w:style>
  <w:style w:type="character" w:styleId="Mencinsinresolver">
    <w:name w:val="Unresolved Mention"/>
    <w:basedOn w:val="Fuentedeprrafopredeter"/>
    <w:uiPriority w:val="99"/>
    <w:semiHidden/>
    <w:unhideWhenUsed/>
    <w:rsid w:val="00DF7D87"/>
    <w:rPr>
      <w:color w:val="605E5C"/>
      <w:shd w:val="clear" w:color="auto" w:fill="E1DFDD"/>
    </w:rPr>
  </w:style>
  <w:style w:type="character" w:styleId="Refdecomentario">
    <w:name w:val="annotation reference"/>
    <w:basedOn w:val="Fuentedeprrafopredeter"/>
    <w:uiPriority w:val="99"/>
    <w:semiHidden/>
    <w:unhideWhenUsed/>
    <w:rsid w:val="00203B8B"/>
    <w:rPr>
      <w:sz w:val="16"/>
      <w:szCs w:val="16"/>
    </w:rPr>
  </w:style>
  <w:style w:type="paragraph" w:styleId="Textocomentario">
    <w:name w:val="annotation text"/>
    <w:basedOn w:val="Normal"/>
    <w:link w:val="TextocomentarioCar"/>
    <w:uiPriority w:val="99"/>
    <w:unhideWhenUsed/>
    <w:rsid w:val="00203B8B"/>
    <w:pPr>
      <w:spacing w:line="240" w:lineRule="auto"/>
    </w:pPr>
    <w:rPr>
      <w:sz w:val="20"/>
      <w:szCs w:val="20"/>
    </w:rPr>
  </w:style>
  <w:style w:type="character" w:customStyle="1" w:styleId="TextocomentarioCar">
    <w:name w:val="Texto comentario Car"/>
    <w:basedOn w:val="Fuentedeprrafopredeter"/>
    <w:link w:val="Textocomentario"/>
    <w:uiPriority w:val="99"/>
    <w:rsid w:val="00203B8B"/>
    <w:rPr>
      <w:sz w:val="20"/>
      <w:szCs w:val="20"/>
    </w:rPr>
  </w:style>
  <w:style w:type="paragraph" w:styleId="Asuntodelcomentario">
    <w:name w:val="annotation subject"/>
    <w:basedOn w:val="Textocomentario"/>
    <w:next w:val="Textocomentario"/>
    <w:link w:val="AsuntodelcomentarioCar"/>
    <w:uiPriority w:val="99"/>
    <w:semiHidden/>
    <w:unhideWhenUsed/>
    <w:rsid w:val="00203B8B"/>
    <w:rPr>
      <w:b/>
      <w:bCs/>
    </w:rPr>
  </w:style>
  <w:style w:type="character" w:customStyle="1" w:styleId="AsuntodelcomentarioCar">
    <w:name w:val="Asunto del comentario Car"/>
    <w:basedOn w:val="TextocomentarioCar"/>
    <w:link w:val="Asuntodelcomentario"/>
    <w:uiPriority w:val="99"/>
    <w:semiHidden/>
    <w:rsid w:val="00203B8B"/>
    <w:rPr>
      <w:b/>
      <w:bCs/>
      <w:sz w:val="20"/>
      <w:szCs w:val="20"/>
    </w:rPr>
  </w:style>
  <w:style w:type="paragraph" w:styleId="Prrafodelista">
    <w:name w:val="List Paragraph"/>
    <w:basedOn w:val="Normal"/>
    <w:uiPriority w:val="34"/>
    <w:qFormat/>
    <w:rsid w:val="00A424BC"/>
    <w:pPr>
      <w:ind w:left="720"/>
      <w:contextualSpacing/>
    </w:pPr>
  </w:style>
  <w:style w:type="character" w:customStyle="1" w:styleId="normaltextrun">
    <w:name w:val="normaltextrun"/>
    <w:basedOn w:val="Fuentedeprrafopredeter"/>
    <w:rsid w:val="00654CE9"/>
  </w:style>
  <w:style w:type="character" w:customStyle="1" w:styleId="eop">
    <w:name w:val="eop"/>
    <w:basedOn w:val="Fuentedeprrafopredeter"/>
    <w:rsid w:val="00654C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8344">
      <w:bodyDiv w:val="1"/>
      <w:marLeft w:val="0"/>
      <w:marRight w:val="0"/>
      <w:marTop w:val="0"/>
      <w:marBottom w:val="0"/>
      <w:divBdr>
        <w:top w:val="none" w:sz="0" w:space="0" w:color="auto"/>
        <w:left w:val="none" w:sz="0" w:space="0" w:color="auto"/>
        <w:bottom w:val="none" w:sz="0" w:space="0" w:color="auto"/>
        <w:right w:val="none" w:sz="0" w:space="0" w:color="auto"/>
      </w:divBdr>
      <w:divsChild>
        <w:div w:id="730928009">
          <w:marLeft w:val="0"/>
          <w:marRight w:val="0"/>
          <w:marTop w:val="0"/>
          <w:marBottom w:val="0"/>
          <w:divBdr>
            <w:top w:val="none" w:sz="0" w:space="0" w:color="auto"/>
            <w:left w:val="none" w:sz="0" w:space="0" w:color="auto"/>
            <w:bottom w:val="none" w:sz="0" w:space="0" w:color="auto"/>
            <w:right w:val="none" w:sz="0" w:space="0" w:color="auto"/>
          </w:divBdr>
          <w:divsChild>
            <w:div w:id="17485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03919">
      <w:bodyDiv w:val="1"/>
      <w:marLeft w:val="0"/>
      <w:marRight w:val="0"/>
      <w:marTop w:val="0"/>
      <w:marBottom w:val="0"/>
      <w:divBdr>
        <w:top w:val="none" w:sz="0" w:space="0" w:color="auto"/>
        <w:left w:val="none" w:sz="0" w:space="0" w:color="auto"/>
        <w:bottom w:val="none" w:sz="0" w:space="0" w:color="auto"/>
        <w:right w:val="none" w:sz="0" w:space="0" w:color="auto"/>
      </w:divBdr>
      <w:divsChild>
        <w:div w:id="1099059196">
          <w:marLeft w:val="0"/>
          <w:marRight w:val="0"/>
          <w:marTop w:val="0"/>
          <w:marBottom w:val="0"/>
          <w:divBdr>
            <w:top w:val="none" w:sz="0" w:space="0" w:color="auto"/>
            <w:left w:val="none" w:sz="0" w:space="0" w:color="auto"/>
            <w:bottom w:val="none" w:sz="0" w:space="0" w:color="auto"/>
            <w:right w:val="none" w:sz="0" w:space="0" w:color="auto"/>
          </w:divBdr>
          <w:divsChild>
            <w:div w:id="146604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618580">
      <w:bodyDiv w:val="1"/>
      <w:marLeft w:val="0"/>
      <w:marRight w:val="0"/>
      <w:marTop w:val="0"/>
      <w:marBottom w:val="0"/>
      <w:divBdr>
        <w:top w:val="none" w:sz="0" w:space="0" w:color="auto"/>
        <w:left w:val="none" w:sz="0" w:space="0" w:color="auto"/>
        <w:bottom w:val="none" w:sz="0" w:space="0" w:color="auto"/>
        <w:right w:val="none" w:sz="0" w:space="0" w:color="auto"/>
      </w:divBdr>
    </w:div>
    <w:div w:id="538861640">
      <w:bodyDiv w:val="1"/>
      <w:marLeft w:val="0"/>
      <w:marRight w:val="0"/>
      <w:marTop w:val="0"/>
      <w:marBottom w:val="0"/>
      <w:divBdr>
        <w:top w:val="none" w:sz="0" w:space="0" w:color="auto"/>
        <w:left w:val="none" w:sz="0" w:space="0" w:color="auto"/>
        <w:bottom w:val="none" w:sz="0" w:space="0" w:color="auto"/>
        <w:right w:val="none" w:sz="0" w:space="0" w:color="auto"/>
      </w:divBdr>
      <w:divsChild>
        <w:div w:id="1645701852">
          <w:marLeft w:val="0"/>
          <w:marRight w:val="0"/>
          <w:marTop w:val="0"/>
          <w:marBottom w:val="0"/>
          <w:divBdr>
            <w:top w:val="none" w:sz="0" w:space="0" w:color="auto"/>
            <w:left w:val="none" w:sz="0" w:space="0" w:color="auto"/>
            <w:bottom w:val="none" w:sz="0" w:space="0" w:color="auto"/>
            <w:right w:val="none" w:sz="0" w:space="0" w:color="auto"/>
          </w:divBdr>
          <w:divsChild>
            <w:div w:id="82092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117862">
      <w:bodyDiv w:val="1"/>
      <w:marLeft w:val="0"/>
      <w:marRight w:val="0"/>
      <w:marTop w:val="0"/>
      <w:marBottom w:val="0"/>
      <w:divBdr>
        <w:top w:val="none" w:sz="0" w:space="0" w:color="auto"/>
        <w:left w:val="none" w:sz="0" w:space="0" w:color="auto"/>
        <w:bottom w:val="none" w:sz="0" w:space="0" w:color="auto"/>
        <w:right w:val="none" w:sz="0" w:space="0" w:color="auto"/>
      </w:divBdr>
    </w:div>
    <w:div w:id="650642262">
      <w:bodyDiv w:val="1"/>
      <w:marLeft w:val="0"/>
      <w:marRight w:val="0"/>
      <w:marTop w:val="0"/>
      <w:marBottom w:val="0"/>
      <w:divBdr>
        <w:top w:val="none" w:sz="0" w:space="0" w:color="auto"/>
        <w:left w:val="none" w:sz="0" w:space="0" w:color="auto"/>
        <w:bottom w:val="none" w:sz="0" w:space="0" w:color="auto"/>
        <w:right w:val="none" w:sz="0" w:space="0" w:color="auto"/>
      </w:divBdr>
    </w:div>
    <w:div w:id="701055670">
      <w:bodyDiv w:val="1"/>
      <w:marLeft w:val="0"/>
      <w:marRight w:val="0"/>
      <w:marTop w:val="0"/>
      <w:marBottom w:val="0"/>
      <w:divBdr>
        <w:top w:val="none" w:sz="0" w:space="0" w:color="auto"/>
        <w:left w:val="none" w:sz="0" w:space="0" w:color="auto"/>
        <w:bottom w:val="none" w:sz="0" w:space="0" w:color="auto"/>
        <w:right w:val="none" w:sz="0" w:space="0" w:color="auto"/>
      </w:divBdr>
      <w:divsChild>
        <w:div w:id="1798134558">
          <w:marLeft w:val="0"/>
          <w:marRight w:val="0"/>
          <w:marTop w:val="0"/>
          <w:marBottom w:val="0"/>
          <w:divBdr>
            <w:top w:val="none" w:sz="0" w:space="0" w:color="auto"/>
            <w:left w:val="none" w:sz="0" w:space="0" w:color="auto"/>
            <w:bottom w:val="none" w:sz="0" w:space="0" w:color="auto"/>
            <w:right w:val="none" w:sz="0" w:space="0" w:color="auto"/>
          </w:divBdr>
          <w:divsChild>
            <w:div w:id="178155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571449">
      <w:bodyDiv w:val="1"/>
      <w:marLeft w:val="0"/>
      <w:marRight w:val="0"/>
      <w:marTop w:val="0"/>
      <w:marBottom w:val="0"/>
      <w:divBdr>
        <w:top w:val="none" w:sz="0" w:space="0" w:color="auto"/>
        <w:left w:val="none" w:sz="0" w:space="0" w:color="auto"/>
        <w:bottom w:val="none" w:sz="0" w:space="0" w:color="auto"/>
        <w:right w:val="none" w:sz="0" w:space="0" w:color="auto"/>
      </w:divBdr>
    </w:div>
    <w:div w:id="940062753">
      <w:bodyDiv w:val="1"/>
      <w:marLeft w:val="0"/>
      <w:marRight w:val="0"/>
      <w:marTop w:val="0"/>
      <w:marBottom w:val="0"/>
      <w:divBdr>
        <w:top w:val="none" w:sz="0" w:space="0" w:color="auto"/>
        <w:left w:val="none" w:sz="0" w:space="0" w:color="auto"/>
        <w:bottom w:val="none" w:sz="0" w:space="0" w:color="auto"/>
        <w:right w:val="none" w:sz="0" w:space="0" w:color="auto"/>
      </w:divBdr>
      <w:divsChild>
        <w:div w:id="1198473892">
          <w:marLeft w:val="0"/>
          <w:marRight w:val="0"/>
          <w:marTop w:val="0"/>
          <w:marBottom w:val="0"/>
          <w:divBdr>
            <w:top w:val="none" w:sz="0" w:space="0" w:color="auto"/>
            <w:left w:val="none" w:sz="0" w:space="0" w:color="auto"/>
            <w:bottom w:val="none" w:sz="0" w:space="0" w:color="auto"/>
            <w:right w:val="none" w:sz="0" w:space="0" w:color="auto"/>
          </w:divBdr>
          <w:divsChild>
            <w:div w:id="36398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536983">
      <w:bodyDiv w:val="1"/>
      <w:marLeft w:val="0"/>
      <w:marRight w:val="0"/>
      <w:marTop w:val="0"/>
      <w:marBottom w:val="0"/>
      <w:divBdr>
        <w:top w:val="none" w:sz="0" w:space="0" w:color="auto"/>
        <w:left w:val="none" w:sz="0" w:space="0" w:color="auto"/>
        <w:bottom w:val="none" w:sz="0" w:space="0" w:color="auto"/>
        <w:right w:val="none" w:sz="0" w:space="0" w:color="auto"/>
      </w:divBdr>
      <w:divsChild>
        <w:div w:id="1986659970">
          <w:marLeft w:val="0"/>
          <w:marRight w:val="0"/>
          <w:marTop w:val="0"/>
          <w:marBottom w:val="0"/>
          <w:divBdr>
            <w:top w:val="none" w:sz="0" w:space="0" w:color="auto"/>
            <w:left w:val="none" w:sz="0" w:space="0" w:color="auto"/>
            <w:bottom w:val="none" w:sz="0" w:space="0" w:color="auto"/>
            <w:right w:val="none" w:sz="0" w:space="0" w:color="auto"/>
          </w:divBdr>
          <w:divsChild>
            <w:div w:id="164242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701976">
      <w:bodyDiv w:val="1"/>
      <w:marLeft w:val="0"/>
      <w:marRight w:val="0"/>
      <w:marTop w:val="0"/>
      <w:marBottom w:val="0"/>
      <w:divBdr>
        <w:top w:val="none" w:sz="0" w:space="0" w:color="auto"/>
        <w:left w:val="none" w:sz="0" w:space="0" w:color="auto"/>
        <w:bottom w:val="none" w:sz="0" w:space="0" w:color="auto"/>
        <w:right w:val="none" w:sz="0" w:space="0" w:color="auto"/>
      </w:divBdr>
      <w:divsChild>
        <w:div w:id="246427673">
          <w:marLeft w:val="0"/>
          <w:marRight w:val="0"/>
          <w:marTop w:val="0"/>
          <w:marBottom w:val="0"/>
          <w:divBdr>
            <w:top w:val="none" w:sz="0" w:space="0" w:color="auto"/>
            <w:left w:val="none" w:sz="0" w:space="0" w:color="auto"/>
            <w:bottom w:val="none" w:sz="0" w:space="0" w:color="auto"/>
            <w:right w:val="none" w:sz="0" w:space="0" w:color="auto"/>
          </w:divBdr>
          <w:divsChild>
            <w:div w:id="206394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434451">
      <w:bodyDiv w:val="1"/>
      <w:marLeft w:val="0"/>
      <w:marRight w:val="0"/>
      <w:marTop w:val="0"/>
      <w:marBottom w:val="0"/>
      <w:divBdr>
        <w:top w:val="none" w:sz="0" w:space="0" w:color="auto"/>
        <w:left w:val="none" w:sz="0" w:space="0" w:color="auto"/>
        <w:bottom w:val="none" w:sz="0" w:space="0" w:color="auto"/>
        <w:right w:val="none" w:sz="0" w:space="0" w:color="auto"/>
      </w:divBdr>
    </w:div>
    <w:div w:id="1201086423">
      <w:bodyDiv w:val="1"/>
      <w:marLeft w:val="0"/>
      <w:marRight w:val="0"/>
      <w:marTop w:val="0"/>
      <w:marBottom w:val="0"/>
      <w:divBdr>
        <w:top w:val="none" w:sz="0" w:space="0" w:color="auto"/>
        <w:left w:val="none" w:sz="0" w:space="0" w:color="auto"/>
        <w:bottom w:val="none" w:sz="0" w:space="0" w:color="auto"/>
        <w:right w:val="none" w:sz="0" w:space="0" w:color="auto"/>
      </w:divBdr>
      <w:divsChild>
        <w:div w:id="1933737451">
          <w:marLeft w:val="0"/>
          <w:marRight w:val="0"/>
          <w:marTop w:val="0"/>
          <w:marBottom w:val="0"/>
          <w:divBdr>
            <w:top w:val="none" w:sz="0" w:space="0" w:color="auto"/>
            <w:left w:val="none" w:sz="0" w:space="0" w:color="auto"/>
            <w:bottom w:val="none" w:sz="0" w:space="0" w:color="auto"/>
            <w:right w:val="none" w:sz="0" w:space="0" w:color="auto"/>
          </w:divBdr>
          <w:divsChild>
            <w:div w:id="61009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38919">
      <w:bodyDiv w:val="1"/>
      <w:marLeft w:val="0"/>
      <w:marRight w:val="0"/>
      <w:marTop w:val="0"/>
      <w:marBottom w:val="0"/>
      <w:divBdr>
        <w:top w:val="none" w:sz="0" w:space="0" w:color="auto"/>
        <w:left w:val="none" w:sz="0" w:space="0" w:color="auto"/>
        <w:bottom w:val="none" w:sz="0" w:space="0" w:color="auto"/>
        <w:right w:val="none" w:sz="0" w:space="0" w:color="auto"/>
      </w:divBdr>
    </w:div>
    <w:div w:id="1673726345">
      <w:bodyDiv w:val="1"/>
      <w:marLeft w:val="0"/>
      <w:marRight w:val="0"/>
      <w:marTop w:val="0"/>
      <w:marBottom w:val="0"/>
      <w:divBdr>
        <w:top w:val="none" w:sz="0" w:space="0" w:color="auto"/>
        <w:left w:val="none" w:sz="0" w:space="0" w:color="auto"/>
        <w:bottom w:val="none" w:sz="0" w:space="0" w:color="auto"/>
        <w:right w:val="none" w:sz="0" w:space="0" w:color="auto"/>
      </w:divBdr>
      <w:divsChild>
        <w:div w:id="1469933488">
          <w:marLeft w:val="0"/>
          <w:marRight w:val="0"/>
          <w:marTop w:val="0"/>
          <w:marBottom w:val="0"/>
          <w:divBdr>
            <w:top w:val="none" w:sz="0" w:space="0" w:color="auto"/>
            <w:left w:val="none" w:sz="0" w:space="0" w:color="auto"/>
            <w:bottom w:val="none" w:sz="0" w:space="0" w:color="auto"/>
            <w:right w:val="none" w:sz="0" w:space="0" w:color="auto"/>
          </w:divBdr>
          <w:divsChild>
            <w:div w:id="16077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198072">
      <w:bodyDiv w:val="1"/>
      <w:marLeft w:val="0"/>
      <w:marRight w:val="0"/>
      <w:marTop w:val="0"/>
      <w:marBottom w:val="0"/>
      <w:divBdr>
        <w:top w:val="none" w:sz="0" w:space="0" w:color="auto"/>
        <w:left w:val="none" w:sz="0" w:space="0" w:color="auto"/>
        <w:bottom w:val="none" w:sz="0" w:space="0" w:color="auto"/>
        <w:right w:val="none" w:sz="0" w:space="0" w:color="auto"/>
      </w:divBdr>
      <w:divsChild>
        <w:div w:id="1374692354">
          <w:marLeft w:val="0"/>
          <w:marRight w:val="0"/>
          <w:marTop w:val="0"/>
          <w:marBottom w:val="0"/>
          <w:divBdr>
            <w:top w:val="none" w:sz="0" w:space="0" w:color="auto"/>
            <w:left w:val="none" w:sz="0" w:space="0" w:color="auto"/>
            <w:bottom w:val="none" w:sz="0" w:space="0" w:color="auto"/>
            <w:right w:val="none" w:sz="0" w:space="0" w:color="auto"/>
          </w:divBdr>
          <w:divsChild>
            <w:div w:id="191643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866786">
      <w:bodyDiv w:val="1"/>
      <w:marLeft w:val="0"/>
      <w:marRight w:val="0"/>
      <w:marTop w:val="0"/>
      <w:marBottom w:val="0"/>
      <w:divBdr>
        <w:top w:val="none" w:sz="0" w:space="0" w:color="auto"/>
        <w:left w:val="none" w:sz="0" w:space="0" w:color="auto"/>
        <w:bottom w:val="none" w:sz="0" w:space="0" w:color="auto"/>
        <w:right w:val="none" w:sz="0" w:space="0" w:color="auto"/>
      </w:divBdr>
      <w:divsChild>
        <w:div w:id="1334182445">
          <w:marLeft w:val="0"/>
          <w:marRight w:val="0"/>
          <w:marTop w:val="0"/>
          <w:marBottom w:val="0"/>
          <w:divBdr>
            <w:top w:val="none" w:sz="0" w:space="0" w:color="auto"/>
            <w:left w:val="none" w:sz="0" w:space="0" w:color="auto"/>
            <w:bottom w:val="none" w:sz="0" w:space="0" w:color="auto"/>
            <w:right w:val="none" w:sz="0" w:space="0" w:color="auto"/>
          </w:divBdr>
          <w:divsChild>
            <w:div w:id="142989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68965">
      <w:bodyDiv w:val="1"/>
      <w:marLeft w:val="0"/>
      <w:marRight w:val="0"/>
      <w:marTop w:val="0"/>
      <w:marBottom w:val="0"/>
      <w:divBdr>
        <w:top w:val="none" w:sz="0" w:space="0" w:color="auto"/>
        <w:left w:val="none" w:sz="0" w:space="0" w:color="auto"/>
        <w:bottom w:val="none" w:sz="0" w:space="0" w:color="auto"/>
        <w:right w:val="none" w:sz="0" w:space="0" w:color="auto"/>
      </w:divBdr>
    </w:div>
    <w:div w:id="2054571592">
      <w:bodyDiv w:val="1"/>
      <w:marLeft w:val="0"/>
      <w:marRight w:val="0"/>
      <w:marTop w:val="0"/>
      <w:marBottom w:val="0"/>
      <w:divBdr>
        <w:top w:val="none" w:sz="0" w:space="0" w:color="auto"/>
        <w:left w:val="none" w:sz="0" w:space="0" w:color="auto"/>
        <w:bottom w:val="none" w:sz="0" w:space="0" w:color="auto"/>
        <w:right w:val="none" w:sz="0" w:space="0" w:color="auto"/>
      </w:divBdr>
    </w:div>
    <w:div w:id="2098556642">
      <w:bodyDiv w:val="1"/>
      <w:marLeft w:val="0"/>
      <w:marRight w:val="0"/>
      <w:marTop w:val="0"/>
      <w:marBottom w:val="0"/>
      <w:divBdr>
        <w:top w:val="none" w:sz="0" w:space="0" w:color="auto"/>
        <w:left w:val="none" w:sz="0" w:space="0" w:color="auto"/>
        <w:bottom w:val="none" w:sz="0" w:space="0" w:color="auto"/>
        <w:right w:val="none" w:sz="0" w:space="0" w:color="auto"/>
      </w:divBdr>
      <w:divsChild>
        <w:div w:id="2089421738">
          <w:marLeft w:val="0"/>
          <w:marRight w:val="0"/>
          <w:marTop w:val="0"/>
          <w:marBottom w:val="0"/>
          <w:divBdr>
            <w:top w:val="none" w:sz="0" w:space="0" w:color="auto"/>
            <w:left w:val="none" w:sz="0" w:space="0" w:color="auto"/>
            <w:bottom w:val="none" w:sz="0" w:space="0" w:color="auto"/>
            <w:right w:val="none" w:sz="0" w:space="0" w:color="auto"/>
          </w:divBdr>
          <w:divsChild>
            <w:div w:id="191766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33CC69E006FF9F44B9207B3689F8F025" ma:contentTypeVersion="15" ma:contentTypeDescription="Crear nuevo documento." ma:contentTypeScope="" ma:versionID="7da299a8e00fc18846b04a17c1b8bbb8">
  <xsd:schema xmlns:xsd="http://www.w3.org/2001/XMLSchema" xmlns:xs="http://www.w3.org/2001/XMLSchema" xmlns:p="http://schemas.microsoft.com/office/2006/metadata/properties" xmlns:ns2="0ef6e1e8-23ac-4db9-86c4-0e3601708a35" xmlns:ns3="e08f44b2-7c34-4b17-b577-bb772d2280b8" targetNamespace="http://schemas.microsoft.com/office/2006/metadata/properties" ma:root="true" ma:fieldsID="4188c17948dd8fa52b587f5e4c54c72b" ns2:_="" ns3:_="">
    <xsd:import namespace="0ef6e1e8-23ac-4db9-86c4-0e3601708a35"/>
    <xsd:import namespace="e08f44b2-7c34-4b17-b577-bb772d2280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imag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6e1e8-23ac-4db9-86c4-0e3601708a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d9dd0de2-0d50-4a6d-84d8-73a82e13a0b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imagen" ma:index="22" nillable="true" ma:displayName="imagen" ma:format="Thumbnail" ma:internalName="image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8f44b2-7c34-4b17-b577-bb772d2280b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b20e47-5ec5-4c2c-805e-2ecbd07bf2a3}" ma:internalName="TaxCatchAll" ma:showField="CatchAllData" ma:web="e08f44b2-7c34-4b17-b577-bb772d2280b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ef6e1e8-23ac-4db9-86c4-0e3601708a35">
      <Terms xmlns="http://schemas.microsoft.com/office/infopath/2007/PartnerControls"/>
    </lcf76f155ced4ddcb4097134ff3c332f>
    <TaxCatchAll xmlns="e08f44b2-7c34-4b17-b577-bb772d2280b8" xsi:nil="true"/>
    <imagen xmlns="0ef6e1e8-23ac-4db9-86c4-0e3601708a35" xsi:nil="true"/>
  </documentManagement>
</p:properties>
</file>

<file path=customXml/itemProps1.xml><?xml version="1.0" encoding="utf-8"?>
<ds:datastoreItem xmlns:ds="http://schemas.openxmlformats.org/officeDocument/2006/customXml" ds:itemID="{FDFA9394-6040-4421-92DC-36A0186C8276}">
  <ds:schemaRefs>
    <ds:schemaRef ds:uri="http://schemas.microsoft.com/sharepoint/v3/contenttype/forms"/>
  </ds:schemaRefs>
</ds:datastoreItem>
</file>

<file path=customXml/itemProps2.xml><?xml version="1.0" encoding="utf-8"?>
<ds:datastoreItem xmlns:ds="http://schemas.openxmlformats.org/officeDocument/2006/customXml" ds:itemID="{88B96D69-C4AA-4A65-A7A8-D5A746114B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f6e1e8-23ac-4db9-86c4-0e3601708a35"/>
    <ds:schemaRef ds:uri="e08f44b2-7c34-4b17-b577-bb772d2280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C2AB04-6644-44B7-B061-B7D2C2D6277C}">
  <ds:schemaRefs>
    <ds:schemaRef ds:uri="http://schemas.openxmlformats.org/officeDocument/2006/bibliography"/>
  </ds:schemaRefs>
</ds:datastoreItem>
</file>

<file path=customXml/itemProps4.xml><?xml version="1.0" encoding="utf-8"?>
<ds:datastoreItem xmlns:ds="http://schemas.openxmlformats.org/officeDocument/2006/customXml" ds:itemID="{2CAD910C-6AB7-48F1-ABCD-0F3CDCB99972}">
  <ds:schemaRefs>
    <ds:schemaRef ds:uri="http://schemas.microsoft.com/office/2006/metadata/properties"/>
    <ds:schemaRef ds:uri="http://schemas.microsoft.com/office/infopath/2007/PartnerControls"/>
    <ds:schemaRef ds:uri="0ef6e1e8-23ac-4db9-86c4-0e3601708a35"/>
    <ds:schemaRef ds:uri="e08f44b2-7c34-4b17-b577-bb772d2280b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666</Words>
  <Characters>3668</Characters>
  <Application>Microsoft Office Word</Application>
  <DocSecurity>0</DocSecurity>
  <Lines>30</Lines>
  <Paragraphs>8</Paragraphs>
  <ScaleCrop>false</ScaleCrop>
  <Company/>
  <LinksUpToDate>false</LinksUpToDate>
  <CharactersWithSpaces>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procedimiento - SIG</dc:title>
  <dc:subject/>
  <dc:creator>Yulieth Diaz Gonzalez</dc:creator>
  <cp:keywords>Plantilla procedimiento - SIG</cp:keywords>
  <dc:description/>
  <cp:lastModifiedBy>Laura Valentina Bernal Avila</cp:lastModifiedBy>
  <cp:revision>23</cp:revision>
  <dcterms:created xsi:type="dcterms:W3CDTF">2026-01-13T15:33:00Z</dcterms:created>
  <dcterms:modified xsi:type="dcterms:W3CDTF">2026-05-25T15:28:00Z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0x01010033CC69E006FF9F44B9207B3689F8F025</vt:lpwstr>
  </property>
  <property fmtid="{D5CDD505-2E9C-101B-9397-08002B2CF9AE}" pid="3" name="_dlc_DocIdItemGuid">
    <vt:lpwstr>c9942c27-d5a5-408e-be91-03f017b7a49c</vt:lpwstr>
  </property>
  <property fmtid="{D5CDD505-2E9C-101B-9397-08002B2CF9AE}" pid="4" name="MediaServiceImageTags">
    <vt:lpwstr/>
  </property>
</Properties>
</file>