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ECBBC" w14:textId="77777777" w:rsidR="00245200" w:rsidRPr="005B684F" w:rsidRDefault="00245200" w:rsidP="00F23750">
      <w:pPr>
        <w:pStyle w:val="Ttulo1"/>
        <w:spacing w:before="0" w:line="360" w:lineRule="auto"/>
        <w:rPr>
          <w:rFonts w:ascii="Arial" w:hAnsi="Arial" w:cs="Arial"/>
          <w:b/>
          <w:bCs/>
          <w:color w:val="auto"/>
          <w:sz w:val="24"/>
          <w:szCs w:val="24"/>
          <w:shd w:val="clear" w:color="auto" w:fill="FFFFFF"/>
        </w:rPr>
      </w:pPr>
    </w:p>
    <w:p w14:paraId="6EFD649F" w14:textId="439E31F1" w:rsidR="00781A83" w:rsidRPr="005B684F" w:rsidRDefault="00781A83" w:rsidP="00F23750">
      <w:pPr>
        <w:pStyle w:val="Ttulo1"/>
        <w:spacing w:before="0" w:line="360" w:lineRule="auto"/>
        <w:rPr>
          <w:rFonts w:ascii="Arial" w:hAnsi="Arial" w:cs="Arial"/>
          <w:b/>
          <w:bCs/>
          <w:color w:val="auto"/>
          <w:sz w:val="24"/>
          <w:szCs w:val="24"/>
          <w:shd w:val="clear" w:color="auto" w:fill="FFFFFF"/>
        </w:rPr>
      </w:pPr>
      <w:r w:rsidRPr="005B684F">
        <w:rPr>
          <w:rFonts w:ascii="Arial" w:hAnsi="Arial" w:cs="Arial"/>
          <w:b/>
          <w:bCs/>
          <w:color w:val="auto"/>
          <w:sz w:val="24"/>
          <w:szCs w:val="24"/>
          <w:shd w:val="clear" w:color="auto" w:fill="FFFFFF"/>
        </w:rPr>
        <w:t>OBJETIVO</w:t>
      </w:r>
    </w:p>
    <w:p w14:paraId="1AFAF503" w14:textId="168B7ECB" w:rsidR="00F82D24" w:rsidRPr="005B684F" w:rsidRDefault="00093FA9" w:rsidP="00093FA9">
      <w:pPr>
        <w:pStyle w:val="Ttulo1"/>
        <w:spacing w:line="360" w:lineRule="auto"/>
        <w:rPr>
          <w:rFonts w:ascii="Arial" w:eastAsiaTheme="minorHAnsi" w:hAnsi="Arial" w:cs="Arial"/>
          <w:color w:val="auto"/>
          <w:sz w:val="24"/>
          <w:szCs w:val="24"/>
          <w:shd w:val="clear" w:color="auto" w:fill="FFFFFF"/>
        </w:rPr>
      </w:pPr>
      <w:r w:rsidRPr="005B684F">
        <w:rPr>
          <w:rFonts w:ascii="Arial" w:eastAsiaTheme="minorHAnsi" w:hAnsi="Arial" w:cs="Arial"/>
          <w:color w:val="auto"/>
          <w:sz w:val="24"/>
          <w:szCs w:val="24"/>
          <w:shd w:val="clear" w:color="auto" w:fill="FFFFFF"/>
        </w:rPr>
        <w:t>Establecer los lineamientos y actividades para verificar los requisitos de ley</w:t>
      </w:r>
      <w:r w:rsidR="00590022" w:rsidRPr="005B684F">
        <w:rPr>
          <w:rFonts w:ascii="Arial" w:eastAsiaTheme="minorHAnsi" w:hAnsi="Arial" w:cs="Arial"/>
          <w:color w:val="auto"/>
          <w:sz w:val="24"/>
          <w:szCs w:val="24"/>
          <w:shd w:val="clear" w:color="auto" w:fill="FFFFFF"/>
        </w:rPr>
        <w:t xml:space="preserve"> </w:t>
      </w:r>
      <w:r w:rsidR="00032E13">
        <w:rPr>
          <w:rFonts w:ascii="Arial" w:eastAsiaTheme="minorHAnsi" w:hAnsi="Arial" w:cs="Arial"/>
          <w:color w:val="auto"/>
          <w:sz w:val="24"/>
          <w:szCs w:val="24"/>
          <w:shd w:val="clear" w:color="auto" w:fill="FFFFFF"/>
        </w:rPr>
        <w:t xml:space="preserve">en </w:t>
      </w:r>
      <w:r w:rsidR="00590022" w:rsidRPr="005B684F">
        <w:rPr>
          <w:rFonts w:ascii="Arial" w:eastAsiaTheme="minorHAnsi" w:hAnsi="Arial" w:cs="Arial"/>
          <w:color w:val="auto"/>
          <w:sz w:val="24"/>
          <w:szCs w:val="24"/>
          <w:shd w:val="clear" w:color="auto" w:fill="FFFFFF"/>
        </w:rPr>
        <w:t xml:space="preserve">la gestión de pagos de </w:t>
      </w:r>
      <w:r w:rsidRPr="005B684F">
        <w:rPr>
          <w:rFonts w:ascii="Arial" w:eastAsiaTheme="minorHAnsi" w:hAnsi="Arial" w:cs="Arial"/>
          <w:color w:val="auto"/>
          <w:sz w:val="24"/>
          <w:szCs w:val="24"/>
          <w:shd w:val="clear" w:color="auto" w:fill="FFFFFF"/>
        </w:rPr>
        <w:t xml:space="preserve">las </w:t>
      </w:r>
      <w:r w:rsidR="00F413BD">
        <w:rPr>
          <w:rFonts w:ascii="Arial" w:eastAsiaTheme="minorHAnsi" w:hAnsi="Arial" w:cs="Arial"/>
          <w:color w:val="auto"/>
          <w:sz w:val="24"/>
          <w:szCs w:val="24"/>
          <w:shd w:val="clear" w:color="auto" w:fill="FFFFFF"/>
        </w:rPr>
        <w:t>providencias</w:t>
      </w:r>
      <w:r w:rsidRPr="005B684F">
        <w:rPr>
          <w:rFonts w:ascii="Arial" w:eastAsiaTheme="minorHAnsi" w:hAnsi="Arial" w:cs="Arial"/>
          <w:color w:val="auto"/>
          <w:sz w:val="24"/>
          <w:szCs w:val="24"/>
          <w:shd w:val="clear" w:color="auto" w:fill="FFFFFF"/>
        </w:rPr>
        <w:t xml:space="preserve"> </w:t>
      </w:r>
      <w:r w:rsidR="007F2878" w:rsidRPr="005B684F">
        <w:rPr>
          <w:rFonts w:ascii="Arial" w:eastAsiaTheme="minorHAnsi" w:hAnsi="Arial" w:cs="Arial"/>
          <w:color w:val="auto"/>
          <w:sz w:val="24"/>
          <w:szCs w:val="24"/>
          <w:shd w:val="clear" w:color="auto" w:fill="FFFFFF"/>
        </w:rPr>
        <w:t>judiciales, conciliaciones</w:t>
      </w:r>
      <w:r w:rsidR="00F413BD">
        <w:rPr>
          <w:rFonts w:ascii="Arial" w:eastAsiaTheme="minorHAnsi" w:hAnsi="Arial" w:cs="Arial"/>
          <w:color w:val="auto"/>
          <w:sz w:val="24"/>
          <w:szCs w:val="24"/>
          <w:shd w:val="clear" w:color="auto" w:fill="FFFFFF"/>
        </w:rPr>
        <w:t xml:space="preserve"> </w:t>
      </w:r>
      <w:r w:rsidR="007F2878">
        <w:rPr>
          <w:rFonts w:ascii="Arial" w:eastAsiaTheme="minorHAnsi" w:hAnsi="Arial" w:cs="Arial"/>
          <w:color w:val="auto"/>
          <w:sz w:val="24"/>
          <w:szCs w:val="24"/>
          <w:shd w:val="clear" w:color="auto" w:fill="FFFFFF"/>
        </w:rPr>
        <w:t>y laudos</w:t>
      </w:r>
      <w:r w:rsidR="00F413BD" w:rsidRPr="005B684F">
        <w:rPr>
          <w:rFonts w:ascii="Arial" w:eastAsiaTheme="minorHAnsi" w:hAnsi="Arial" w:cs="Arial"/>
          <w:color w:val="auto"/>
          <w:sz w:val="24"/>
          <w:szCs w:val="24"/>
          <w:shd w:val="clear" w:color="auto" w:fill="FFFFFF"/>
        </w:rPr>
        <w:t xml:space="preserve"> arbitrales</w:t>
      </w:r>
      <w:r w:rsidRPr="005B684F">
        <w:rPr>
          <w:rFonts w:ascii="Arial" w:eastAsiaTheme="minorHAnsi" w:hAnsi="Arial" w:cs="Arial"/>
          <w:color w:val="auto"/>
          <w:sz w:val="24"/>
          <w:szCs w:val="24"/>
          <w:shd w:val="clear" w:color="auto" w:fill="FFFFFF"/>
        </w:rPr>
        <w:t>, debidamente aprobadas, que se produzcan como resultado de procesos ordinarios, contenciosos administrativos, arbitrales y conciliatorios, en contra de la Superintendencia nacional de Salud</w:t>
      </w:r>
      <w:r w:rsidR="007F2878">
        <w:rPr>
          <w:rFonts w:ascii="Arial" w:eastAsiaTheme="minorHAnsi" w:hAnsi="Arial" w:cs="Arial"/>
          <w:color w:val="auto"/>
          <w:sz w:val="24"/>
          <w:szCs w:val="24"/>
          <w:shd w:val="clear" w:color="auto" w:fill="FFFFFF"/>
        </w:rPr>
        <w:t>.</w:t>
      </w:r>
    </w:p>
    <w:p w14:paraId="4F4478E6" w14:textId="77777777" w:rsidR="00093FA9" w:rsidRPr="005B684F" w:rsidRDefault="00093FA9" w:rsidP="00093FA9"/>
    <w:p w14:paraId="28CCD844" w14:textId="7999C3D7" w:rsidR="00780F20" w:rsidRPr="005B684F" w:rsidRDefault="00780F20" w:rsidP="00F23750">
      <w:pPr>
        <w:pStyle w:val="Ttulo1"/>
        <w:spacing w:before="0" w:line="360" w:lineRule="auto"/>
        <w:rPr>
          <w:rFonts w:ascii="Arial" w:hAnsi="Arial" w:cs="Arial"/>
          <w:b/>
          <w:bCs/>
          <w:color w:val="auto"/>
          <w:sz w:val="24"/>
          <w:szCs w:val="24"/>
          <w:shd w:val="clear" w:color="auto" w:fill="FFFFFF"/>
        </w:rPr>
      </w:pPr>
      <w:r w:rsidRPr="005B684F">
        <w:rPr>
          <w:rFonts w:ascii="Arial" w:hAnsi="Arial" w:cs="Arial"/>
          <w:b/>
          <w:bCs/>
          <w:color w:val="auto"/>
          <w:sz w:val="24"/>
          <w:szCs w:val="24"/>
          <w:shd w:val="clear" w:color="auto" w:fill="FFFFFF"/>
        </w:rPr>
        <w:t>ALCANCE </w:t>
      </w:r>
    </w:p>
    <w:p w14:paraId="71322716" w14:textId="33F072B7" w:rsidR="00093FA9" w:rsidRPr="00E91767" w:rsidRDefault="00093FA9" w:rsidP="00011D95">
      <w:pPr>
        <w:pStyle w:val="Ttulo1"/>
        <w:spacing w:line="360" w:lineRule="auto"/>
        <w:rPr>
          <w:rFonts w:ascii="Arial" w:eastAsiaTheme="minorHAnsi" w:hAnsi="Arial" w:cs="Arial"/>
          <w:color w:val="FF0000"/>
          <w:sz w:val="24"/>
          <w:szCs w:val="24"/>
          <w:shd w:val="clear" w:color="auto" w:fill="FFFFFF"/>
        </w:rPr>
      </w:pPr>
      <w:r w:rsidRPr="005B684F">
        <w:rPr>
          <w:rFonts w:ascii="Arial" w:eastAsiaTheme="minorHAnsi" w:hAnsi="Arial" w:cs="Arial"/>
          <w:color w:val="auto"/>
          <w:sz w:val="24"/>
          <w:szCs w:val="24"/>
          <w:shd w:val="clear" w:color="auto" w:fill="FFFFFF"/>
        </w:rPr>
        <w:t xml:space="preserve">Se inicia con la </w:t>
      </w:r>
      <w:r w:rsidR="00F91B88">
        <w:rPr>
          <w:rFonts w:ascii="Arial" w:eastAsiaTheme="minorHAnsi" w:hAnsi="Arial" w:cs="Arial"/>
          <w:color w:val="auto"/>
          <w:sz w:val="24"/>
          <w:szCs w:val="24"/>
          <w:shd w:val="clear" w:color="auto" w:fill="FFFFFF"/>
        </w:rPr>
        <w:t xml:space="preserve">notificación de una providencia </w:t>
      </w:r>
      <w:r w:rsidR="00923407">
        <w:rPr>
          <w:rFonts w:ascii="Arial" w:eastAsiaTheme="minorHAnsi" w:hAnsi="Arial" w:cs="Arial"/>
          <w:color w:val="auto"/>
          <w:sz w:val="24"/>
          <w:szCs w:val="24"/>
          <w:shd w:val="clear" w:color="auto" w:fill="FFFFFF"/>
        </w:rPr>
        <w:t>judicial y</w:t>
      </w:r>
      <w:r w:rsidR="004812F8">
        <w:rPr>
          <w:rFonts w:ascii="Arial" w:eastAsiaTheme="minorHAnsi" w:hAnsi="Arial" w:cs="Arial"/>
          <w:color w:val="auto"/>
          <w:sz w:val="24"/>
          <w:szCs w:val="24"/>
          <w:shd w:val="clear" w:color="auto" w:fill="FFFFFF"/>
        </w:rPr>
        <w:t xml:space="preserve"> su posterior </w:t>
      </w:r>
      <w:r w:rsidR="005B684F" w:rsidRPr="005B684F">
        <w:rPr>
          <w:rFonts w:ascii="Arial" w:eastAsiaTheme="minorHAnsi" w:hAnsi="Arial" w:cs="Arial"/>
          <w:color w:val="auto"/>
          <w:sz w:val="24"/>
          <w:szCs w:val="24"/>
          <w:shd w:val="clear" w:color="auto" w:fill="FFFFFF"/>
        </w:rPr>
        <w:t>comunicación al ordenador de gasto sobre la existencia de un crédito judicial dentro de los 15 días calendario siguientes a la ejecutoria de la providencia</w:t>
      </w:r>
      <w:r w:rsidR="004812F8">
        <w:rPr>
          <w:rFonts w:ascii="Arial" w:eastAsiaTheme="minorHAnsi" w:hAnsi="Arial" w:cs="Arial"/>
          <w:color w:val="auto"/>
          <w:sz w:val="24"/>
          <w:szCs w:val="24"/>
          <w:shd w:val="clear" w:color="auto" w:fill="FFFFFF"/>
        </w:rPr>
        <w:t xml:space="preserve">, efectuando </w:t>
      </w:r>
      <w:r w:rsidR="00724B62">
        <w:rPr>
          <w:rFonts w:ascii="Arial" w:eastAsiaTheme="minorHAnsi" w:hAnsi="Arial" w:cs="Arial"/>
          <w:color w:val="auto"/>
          <w:sz w:val="24"/>
          <w:szCs w:val="24"/>
          <w:shd w:val="clear" w:color="auto" w:fill="FFFFFF"/>
        </w:rPr>
        <w:t>el registro</w:t>
      </w:r>
      <w:r w:rsidR="00011D95">
        <w:rPr>
          <w:rFonts w:ascii="Arial" w:eastAsiaTheme="minorHAnsi" w:hAnsi="Arial" w:cs="Arial"/>
          <w:color w:val="auto"/>
          <w:sz w:val="24"/>
          <w:szCs w:val="24"/>
          <w:shd w:val="clear" w:color="auto" w:fill="FFFFFF"/>
        </w:rPr>
        <w:t xml:space="preserve"> en la base de datos </w:t>
      </w:r>
      <w:r w:rsidR="009A7A9D">
        <w:rPr>
          <w:rFonts w:ascii="Arial" w:eastAsiaTheme="minorHAnsi" w:hAnsi="Arial" w:cs="Arial"/>
          <w:color w:val="auto"/>
          <w:sz w:val="24"/>
          <w:szCs w:val="24"/>
          <w:shd w:val="clear" w:color="auto" w:fill="FFFFFF"/>
        </w:rPr>
        <w:t>de procesos judiciales- Grupo</w:t>
      </w:r>
      <w:r w:rsidR="00D15F01">
        <w:rPr>
          <w:rFonts w:ascii="Arial" w:eastAsiaTheme="minorHAnsi" w:hAnsi="Arial" w:cs="Arial"/>
          <w:color w:val="auto"/>
          <w:sz w:val="24"/>
          <w:szCs w:val="24"/>
          <w:shd w:val="clear" w:color="auto" w:fill="FFFFFF"/>
        </w:rPr>
        <w:t xml:space="preserve"> de defensa judicial</w:t>
      </w:r>
      <w:r w:rsidR="005B684F" w:rsidRPr="005B684F">
        <w:rPr>
          <w:rFonts w:ascii="Arial" w:eastAsiaTheme="minorHAnsi" w:hAnsi="Arial" w:cs="Arial"/>
          <w:color w:val="auto"/>
          <w:sz w:val="24"/>
          <w:szCs w:val="24"/>
          <w:shd w:val="clear" w:color="auto" w:fill="FFFFFF"/>
        </w:rPr>
        <w:t xml:space="preserve">.  </w:t>
      </w:r>
      <w:r w:rsidR="005B684F">
        <w:rPr>
          <w:rFonts w:ascii="Arial" w:eastAsiaTheme="minorHAnsi" w:hAnsi="Arial" w:cs="Arial"/>
          <w:color w:val="auto"/>
          <w:sz w:val="24"/>
          <w:szCs w:val="24"/>
          <w:shd w:val="clear" w:color="auto" w:fill="FFFFFF"/>
        </w:rPr>
        <w:t xml:space="preserve">Continúa con la solicitud de pago del apoderado o beneficiario de </w:t>
      </w:r>
      <w:r w:rsidR="00011D95">
        <w:rPr>
          <w:rFonts w:ascii="Arial" w:eastAsiaTheme="minorHAnsi" w:hAnsi="Arial" w:cs="Arial"/>
          <w:color w:val="auto"/>
          <w:sz w:val="24"/>
          <w:szCs w:val="24"/>
          <w:shd w:val="clear" w:color="auto" w:fill="FFFFFF"/>
        </w:rPr>
        <w:t>la</w:t>
      </w:r>
      <w:r w:rsidR="005B684F" w:rsidRPr="005B684F">
        <w:rPr>
          <w:rFonts w:ascii="Arial" w:eastAsiaTheme="minorHAnsi" w:hAnsi="Arial" w:cs="Arial"/>
          <w:color w:val="auto"/>
          <w:sz w:val="24"/>
          <w:szCs w:val="24"/>
          <w:shd w:val="clear" w:color="auto" w:fill="FFFFFF"/>
        </w:rPr>
        <w:t xml:space="preserve"> providencia</w:t>
      </w:r>
      <w:r w:rsidRPr="005B684F">
        <w:rPr>
          <w:rFonts w:ascii="Arial" w:eastAsiaTheme="minorHAnsi" w:hAnsi="Arial" w:cs="Arial"/>
          <w:color w:val="auto"/>
          <w:sz w:val="24"/>
          <w:szCs w:val="24"/>
          <w:shd w:val="clear" w:color="auto" w:fill="FFFFFF"/>
        </w:rPr>
        <w:t xml:space="preserve"> judicial</w:t>
      </w:r>
      <w:r w:rsidR="005B684F" w:rsidRPr="005B684F">
        <w:rPr>
          <w:rFonts w:ascii="Arial" w:eastAsiaTheme="minorHAnsi" w:hAnsi="Arial" w:cs="Arial"/>
          <w:color w:val="auto"/>
          <w:sz w:val="24"/>
          <w:szCs w:val="24"/>
          <w:shd w:val="clear" w:color="auto" w:fill="FFFFFF"/>
        </w:rPr>
        <w:t>, conciliaci</w:t>
      </w:r>
      <w:r w:rsidR="00011D95">
        <w:rPr>
          <w:rFonts w:ascii="Arial" w:eastAsiaTheme="minorHAnsi" w:hAnsi="Arial" w:cs="Arial"/>
          <w:color w:val="auto"/>
          <w:sz w:val="24"/>
          <w:szCs w:val="24"/>
          <w:shd w:val="clear" w:color="auto" w:fill="FFFFFF"/>
        </w:rPr>
        <w:t>ón</w:t>
      </w:r>
      <w:r w:rsidR="005B684F" w:rsidRPr="005B684F">
        <w:rPr>
          <w:rFonts w:ascii="Arial" w:eastAsiaTheme="minorHAnsi" w:hAnsi="Arial" w:cs="Arial"/>
          <w:color w:val="auto"/>
          <w:sz w:val="24"/>
          <w:szCs w:val="24"/>
          <w:shd w:val="clear" w:color="auto" w:fill="FFFFFF"/>
        </w:rPr>
        <w:t xml:space="preserve"> extrajudici</w:t>
      </w:r>
      <w:r w:rsidR="00011D95">
        <w:rPr>
          <w:rFonts w:ascii="Arial" w:eastAsiaTheme="minorHAnsi" w:hAnsi="Arial" w:cs="Arial"/>
          <w:color w:val="auto"/>
          <w:sz w:val="24"/>
          <w:szCs w:val="24"/>
          <w:shd w:val="clear" w:color="auto" w:fill="FFFFFF"/>
        </w:rPr>
        <w:t>al</w:t>
      </w:r>
      <w:r w:rsidR="005B684F" w:rsidRPr="005B684F">
        <w:rPr>
          <w:rFonts w:ascii="Arial" w:eastAsiaTheme="minorHAnsi" w:hAnsi="Arial" w:cs="Arial"/>
          <w:color w:val="auto"/>
          <w:sz w:val="24"/>
          <w:szCs w:val="24"/>
          <w:shd w:val="clear" w:color="auto" w:fill="FFFFFF"/>
        </w:rPr>
        <w:t xml:space="preserve"> </w:t>
      </w:r>
      <w:r w:rsidR="00011D95">
        <w:rPr>
          <w:rFonts w:ascii="Arial" w:eastAsiaTheme="minorHAnsi" w:hAnsi="Arial" w:cs="Arial"/>
          <w:color w:val="auto"/>
          <w:sz w:val="24"/>
          <w:szCs w:val="24"/>
          <w:shd w:val="clear" w:color="auto" w:fill="FFFFFF"/>
        </w:rPr>
        <w:t>o</w:t>
      </w:r>
      <w:r w:rsidR="005B684F" w:rsidRPr="005B684F">
        <w:rPr>
          <w:rFonts w:ascii="Arial" w:eastAsiaTheme="minorHAnsi" w:hAnsi="Arial" w:cs="Arial"/>
          <w:color w:val="auto"/>
          <w:sz w:val="24"/>
          <w:szCs w:val="24"/>
          <w:shd w:val="clear" w:color="auto" w:fill="FFFFFF"/>
        </w:rPr>
        <w:t xml:space="preserve"> laudo arbitral, la </w:t>
      </w:r>
      <w:r w:rsidR="005B684F" w:rsidRPr="00011D95">
        <w:rPr>
          <w:rFonts w:ascii="Arial" w:eastAsiaTheme="minorHAnsi" w:hAnsi="Arial" w:cs="Arial"/>
          <w:color w:val="auto"/>
          <w:sz w:val="24"/>
          <w:szCs w:val="24"/>
          <w:shd w:val="clear" w:color="auto" w:fill="FFFFFF"/>
        </w:rPr>
        <w:t xml:space="preserve">revisión </w:t>
      </w:r>
      <w:r w:rsidR="00011D95" w:rsidRPr="00011D95">
        <w:rPr>
          <w:rFonts w:ascii="Arial" w:eastAsiaTheme="minorHAnsi" w:hAnsi="Arial" w:cs="Arial"/>
          <w:color w:val="auto"/>
          <w:sz w:val="24"/>
          <w:szCs w:val="24"/>
          <w:shd w:val="clear" w:color="auto" w:fill="FFFFFF"/>
        </w:rPr>
        <w:t xml:space="preserve">de la totalidad de los documentos y el trámite posterior con la </w:t>
      </w:r>
      <w:r w:rsidR="00D15F01">
        <w:rPr>
          <w:rFonts w:ascii="Arial" w:eastAsiaTheme="minorHAnsi" w:hAnsi="Arial" w:cs="Arial"/>
          <w:color w:val="auto"/>
          <w:sz w:val="24"/>
          <w:szCs w:val="24"/>
          <w:shd w:val="clear" w:color="auto" w:fill="FFFFFF"/>
        </w:rPr>
        <w:t>d</w:t>
      </w:r>
      <w:r w:rsidR="00011D95" w:rsidRPr="00011D95">
        <w:rPr>
          <w:rFonts w:ascii="Arial" w:eastAsiaTheme="minorHAnsi" w:hAnsi="Arial" w:cs="Arial"/>
          <w:color w:val="auto"/>
          <w:sz w:val="24"/>
          <w:szCs w:val="24"/>
          <w:shd w:val="clear" w:color="auto" w:fill="FFFFFF"/>
        </w:rPr>
        <w:t>irección financiera</w:t>
      </w:r>
      <w:r w:rsidR="00703F2D">
        <w:rPr>
          <w:rFonts w:ascii="Arial" w:eastAsiaTheme="minorHAnsi" w:hAnsi="Arial" w:cs="Arial"/>
          <w:color w:val="auto"/>
          <w:sz w:val="24"/>
          <w:szCs w:val="24"/>
          <w:shd w:val="clear" w:color="auto" w:fill="FFFFFF"/>
        </w:rPr>
        <w:t>.</w:t>
      </w:r>
    </w:p>
    <w:p w14:paraId="1D09D3BB" w14:textId="77777777" w:rsidR="00011D95" w:rsidRPr="00011D95" w:rsidRDefault="00011D95" w:rsidP="00011D95"/>
    <w:p w14:paraId="02C5F28D" w14:textId="77777777" w:rsidR="00121BF6" w:rsidRPr="005B684F" w:rsidRDefault="00121BF6" w:rsidP="00121BF6">
      <w:pPr>
        <w:pStyle w:val="Ttulo1"/>
        <w:spacing w:before="0" w:line="360" w:lineRule="auto"/>
        <w:rPr>
          <w:rFonts w:ascii="Arial" w:hAnsi="Arial" w:cs="Arial"/>
          <w:b/>
          <w:bCs/>
          <w:color w:val="auto"/>
          <w:sz w:val="24"/>
          <w:szCs w:val="24"/>
          <w:shd w:val="clear" w:color="auto" w:fill="FFFFFF"/>
        </w:rPr>
      </w:pPr>
      <w:r w:rsidRPr="005B684F">
        <w:rPr>
          <w:rFonts w:ascii="Arial" w:hAnsi="Arial" w:cs="Arial"/>
          <w:b/>
          <w:bCs/>
          <w:color w:val="auto"/>
          <w:sz w:val="24"/>
          <w:szCs w:val="24"/>
          <w:shd w:val="clear" w:color="auto" w:fill="FFFFFF"/>
        </w:rPr>
        <w:t>RESPONSABLE DEL PROCEDIMIENTO</w:t>
      </w:r>
    </w:p>
    <w:p w14:paraId="0F3E7BF9" w14:textId="77777777" w:rsidR="00D22191" w:rsidRPr="005B684F" w:rsidRDefault="00D22191" w:rsidP="00D22191"/>
    <w:p w14:paraId="6D736D5E" w14:textId="1FF811D8" w:rsidR="00011D95" w:rsidRDefault="00D22191" w:rsidP="00011D95">
      <w:pPr>
        <w:spacing w:after="0" w:line="360" w:lineRule="auto"/>
        <w:rPr>
          <w:rFonts w:ascii="Arial" w:hAnsi="Arial" w:cs="Arial"/>
          <w:sz w:val="24"/>
          <w:szCs w:val="24"/>
          <w:shd w:val="clear" w:color="auto" w:fill="FFFFFF"/>
        </w:rPr>
      </w:pPr>
      <w:r w:rsidRPr="005B684F">
        <w:rPr>
          <w:rFonts w:ascii="Arial" w:hAnsi="Arial" w:cs="Arial"/>
          <w:sz w:val="24"/>
          <w:szCs w:val="24"/>
          <w:shd w:val="clear" w:color="auto" w:fill="FFFFFF"/>
        </w:rPr>
        <w:t>Subdirección de defensa jurídica, Coordinado</w:t>
      </w:r>
      <w:r w:rsidR="004C1C6A">
        <w:rPr>
          <w:rFonts w:ascii="Arial" w:hAnsi="Arial" w:cs="Arial"/>
          <w:sz w:val="24"/>
          <w:szCs w:val="24"/>
          <w:shd w:val="clear" w:color="auto" w:fill="FFFFFF"/>
        </w:rPr>
        <w:t>r</w:t>
      </w:r>
      <w:r w:rsidRPr="005B684F">
        <w:rPr>
          <w:rFonts w:ascii="Arial" w:hAnsi="Arial" w:cs="Arial"/>
          <w:sz w:val="24"/>
          <w:szCs w:val="24"/>
          <w:shd w:val="clear" w:color="auto" w:fill="FFFFFF"/>
        </w:rPr>
        <w:t xml:space="preserve"> del Grupo de defensa judicial </w:t>
      </w:r>
      <w:r w:rsidR="004C5BBC" w:rsidRPr="005B684F">
        <w:rPr>
          <w:rFonts w:ascii="Arial" w:hAnsi="Arial" w:cs="Arial"/>
          <w:sz w:val="24"/>
          <w:szCs w:val="24"/>
          <w:shd w:val="clear" w:color="auto" w:fill="FFFFFF"/>
        </w:rPr>
        <w:t xml:space="preserve">y </w:t>
      </w:r>
      <w:r w:rsidR="004C5BBC">
        <w:rPr>
          <w:rFonts w:ascii="Arial" w:hAnsi="Arial" w:cs="Arial"/>
          <w:sz w:val="24"/>
          <w:szCs w:val="24"/>
          <w:shd w:val="clear" w:color="auto" w:fill="FFFFFF"/>
        </w:rPr>
        <w:t>profesionales</w:t>
      </w:r>
      <w:r w:rsidR="00011D95">
        <w:rPr>
          <w:rFonts w:ascii="Arial" w:hAnsi="Arial" w:cs="Arial"/>
          <w:sz w:val="24"/>
          <w:szCs w:val="24"/>
          <w:shd w:val="clear" w:color="auto" w:fill="FFFFFF"/>
        </w:rPr>
        <w:t xml:space="preserve"> </w:t>
      </w:r>
      <w:r w:rsidR="0085370E">
        <w:rPr>
          <w:rFonts w:ascii="Arial" w:hAnsi="Arial" w:cs="Arial"/>
          <w:sz w:val="24"/>
          <w:szCs w:val="24"/>
          <w:shd w:val="clear" w:color="auto" w:fill="FFFFFF"/>
        </w:rPr>
        <w:t>a</w:t>
      </w:r>
      <w:r w:rsidR="00011D95">
        <w:rPr>
          <w:rFonts w:ascii="Arial" w:hAnsi="Arial" w:cs="Arial"/>
          <w:sz w:val="24"/>
          <w:szCs w:val="24"/>
          <w:shd w:val="clear" w:color="auto" w:fill="FFFFFF"/>
        </w:rPr>
        <w:t>signados.</w:t>
      </w:r>
    </w:p>
    <w:p w14:paraId="710FFB4E" w14:textId="77777777" w:rsidR="00011D95" w:rsidRDefault="00011D95" w:rsidP="00011D95">
      <w:pPr>
        <w:spacing w:after="0" w:line="360" w:lineRule="auto"/>
        <w:rPr>
          <w:rFonts w:ascii="Arial" w:hAnsi="Arial" w:cs="Arial"/>
          <w:sz w:val="24"/>
          <w:szCs w:val="24"/>
          <w:shd w:val="clear" w:color="auto" w:fill="FFFFFF"/>
        </w:rPr>
      </w:pPr>
    </w:p>
    <w:p w14:paraId="3990820A" w14:textId="77777777" w:rsidR="000B1E29" w:rsidRDefault="00781A83" w:rsidP="000B1E29">
      <w:pPr>
        <w:spacing w:after="0" w:line="360" w:lineRule="auto"/>
        <w:rPr>
          <w:rFonts w:ascii="Arial" w:hAnsi="Arial" w:cs="Arial"/>
          <w:b/>
          <w:bCs/>
          <w:sz w:val="24"/>
          <w:szCs w:val="24"/>
          <w:shd w:val="clear" w:color="auto" w:fill="FFFFFF"/>
        </w:rPr>
      </w:pPr>
      <w:r w:rsidRPr="005B684F">
        <w:rPr>
          <w:rFonts w:ascii="Arial" w:hAnsi="Arial" w:cs="Arial"/>
          <w:b/>
          <w:bCs/>
          <w:sz w:val="24"/>
          <w:szCs w:val="24"/>
          <w:shd w:val="clear" w:color="auto" w:fill="FFFFFF"/>
        </w:rPr>
        <w:lastRenderedPageBreak/>
        <w:t>DEFINICIONES</w:t>
      </w:r>
      <w:r w:rsidR="000B1E29">
        <w:rPr>
          <w:rFonts w:ascii="Arial" w:hAnsi="Arial" w:cs="Arial"/>
          <w:b/>
          <w:bCs/>
          <w:sz w:val="24"/>
          <w:szCs w:val="24"/>
          <w:shd w:val="clear" w:color="auto" w:fill="FFFFFF"/>
        </w:rPr>
        <w:t xml:space="preserve"> </w:t>
      </w:r>
    </w:p>
    <w:p w14:paraId="70F87AC1" w14:textId="77777777" w:rsidR="000B1E29" w:rsidRDefault="000B1E29" w:rsidP="000B1E29">
      <w:pPr>
        <w:spacing w:after="0" w:line="360" w:lineRule="auto"/>
        <w:rPr>
          <w:rFonts w:ascii="Arial" w:hAnsi="Arial" w:cs="Arial"/>
          <w:b/>
          <w:bCs/>
          <w:sz w:val="24"/>
          <w:szCs w:val="24"/>
          <w:shd w:val="clear" w:color="auto" w:fill="FFFFFF"/>
        </w:rPr>
      </w:pPr>
    </w:p>
    <w:p w14:paraId="74C5EA8D" w14:textId="117269B1" w:rsidR="000B1E29" w:rsidRDefault="00011D95" w:rsidP="000B1E29">
      <w:pPr>
        <w:spacing w:after="0" w:line="360" w:lineRule="auto"/>
        <w:rPr>
          <w:rFonts w:ascii="Arial" w:hAnsi="Arial" w:cs="Arial"/>
          <w:sz w:val="24"/>
          <w:szCs w:val="24"/>
        </w:rPr>
      </w:pPr>
      <w:r w:rsidRPr="00DD7887">
        <w:rPr>
          <w:rFonts w:ascii="Arial" w:hAnsi="Arial" w:cs="Arial"/>
          <w:sz w:val="24"/>
          <w:szCs w:val="24"/>
        </w:rPr>
        <w:t>*</w:t>
      </w:r>
      <w:r w:rsidR="00873D13" w:rsidRPr="00DD7887">
        <w:rPr>
          <w:rFonts w:ascii="Arial" w:hAnsi="Arial" w:cs="Arial"/>
          <w:sz w:val="24"/>
          <w:szCs w:val="24"/>
        </w:rPr>
        <w:t xml:space="preserve"> </w:t>
      </w:r>
      <w:r w:rsidR="00873D13" w:rsidRPr="00DD7887">
        <w:rPr>
          <w:rFonts w:ascii="Arial" w:hAnsi="Arial" w:cs="Arial"/>
          <w:b/>
          <w:bCs/>
          <w:sz w:val="24"/>
          <w:szCs w:val="24"/>
        </w:rPr>
        <w:t xml:space="preserve">Acuerdo </w:t>
      </w:r>
      <w:r w:rsidR="00A5242F">
        <w:rPr>
          <w:rFonts w:ascii="Arial" w:hAnsi="Arial" w:cs="Arial"/>
          <w:b/>
          <w:bCs/>
          <w:sz w:val="24"/>
          <w:szCs w:val="24"/>
        </w:rPr>
        <w:t>c</w:t>
      </w:r>
      <w:r w:rsidR="00873D13" w:rsidRPr="00DD7887">
        <w:rPr>
          <w:rFonts w:ascii="Arial" w:hAnsi="Arial" w:cs="Arial"/>
          <w:b/>
          <w:bCs/>
          <w:sz w:val="24"/>
          <w:szCs w:val="24"/>
        </w:rPr>
        <w:t xml:space="preserve">onciliatorio: </w:t>
      </w:r>
      <w:r w:rsidR="00873D13" w:rsidRPr="00DD7887">
        <w:rPr>
          <w:rFonts w:ascii="Arial" w:hAnsi="Arial" w:cs="Arial"/>
          <w:sz w:val="24"/>
          <w:szCs w:val="24"/>
        </w:rPr>
        <w:t>Documento en donde se expresa la voluntad de dos o más personas que convienen en solucionar sus diferencias y controversias con el concurso de un tercero.</w:t>
      </w:r>
    </w:p>
    <w:p w14:paraId="6A731FA3" w14:textId="77777777" w:rsidR="000B1E29" w:rsidRDefault="000B1E29" w:rsidP="000B1E29">
      <w:pPr>
        <w:spacing w:after="0" w:line="360" w:lineRule="auto"/>
        <w:rPr>
          <w:rFonts w:ascii="Arial" w:hAnsi="Arial" w:cs="Arial"/>
          <w:sz w:val="24"/>
          <w:szCs w:val="24"/>
        </w:rPr>
      </w:pPr>
    </w:p>
    <w:p w14:paraId="67FACF40" w14:textId="4E3C52D1" w:rsidR="000B1E29" w:rsidRDefault="00873D13" w:rsidP="000B1E29">
      <w:pPr>
        <w:spacing w:after="0" w:line="360" w:lineRule="auto"/>
        <w:rPr>
          <w:rFonts w:ascii="Arial" w:hAnsi="Arial" w:cs="Arial"/>
          <w:sz w:val="24"/>
          <w:szCs w:val="24"/>
        </w:rPr>
      </w:pPr>
      <w:r w:rsidRPr="00305AAF">
        <w:rPr>
          <w:rFonts w:ascii="Arial" w:hAnsi="Arial" w:cs="Arial"/>
          <w:sz w:val="24"/>
          <w:szCs w:val="24"/>
        </w:rPr>
        <w:t xml:space="preserve">• </w:t>
      </w:r>
      <w:r w:rsidRPr="00305AAF">
        <w:rPr>
          <w:rFonts w:ascii="Arial" w:hAnsi="Arial" w:cs="Arial"/>
          <w:b/>
          <w:bCs/>
          <w:sz w:val="24"/>
          <w:szCs w:val="24"/>
        </w:rPr>
        <w:t xml:space="preserve">Cumplimiento de </w:t>
      </w:r>
      <w:r w:rsidR="00A5242F">
        <w:rPr>
          <w:rFonts w:ascii="Arial" w:hAnsi="Arial" w:cs="Arial"/>
          <w:b/>
          <w:bCs/>
          <w:sz w:val="24"/>
          <w:szCs w:val="24"/>
        </w:rPr>
        <w:t>p</w:t>
      </w:r>
      <w:r w:rsidRPr="00305AAF">
        <w:rPr>
          <w:rFonts w:ascii="Arial" w:hAnsi="Arial" w:cs="Arial"/>
          <w:b/>
          <w:bCs/>
          <w:sz w:val="24"/>
          <w:szCs w:val="24"/>
        </w:rPr>
        <w:t>rovidencias</w:t>
      </w:r>
      <w:r w:rsidR="00385424">
        <w:rPr>
          <w:rFonts w:ascii="Arial" w:hAnsi="Arial" w:cs="Arial"/>
          <w:b/>
          <w:bCs/>
          <w:sz w:val="24"/>
          <w:szCs w:val="24"/>
        </w:rPr>
        <w:t>, acuerdos conciliatorios y laudos arbitrales</w:t>
      </w:r>
      <w:r w:rsidRPr="00305AAF">
        <w:rPr>
          <w:rFonts w:ascii="Arial" w:hAnsi="Arial" w:cs="Arial"/>
          <w:b/>
          <w:bCs/>
          <w:sz w:val="24"/>
          <w:szCs w:val="24"/>
        </w:rPr>
        <w:t xml:space="preserve">: </w:t>
      </w:r>
      <w:r w:rsidRPr="00305AAF">
        <w:rPr>
          <w:rFonts w:ascii="Arial" w:hAnsi="Arial" w:cs="Arial"/>
          <w:sz w:val="24"/>
          <w:szCs w:val="24"/>
        </w:rPr>
        <w:t xml:space="preserve">Conjunto de actividades coordinadas que desarrollan las diferentes áreas o dependencias, tendientes a dar efectivo y oportuno cumplimiento a las </w:t>
      </w:r>
      <w:r w:rsidR="00385424">
        <w:rPr>
          <w:rFonts w:ascii="Arial" w:hAnsi="Arial" w:cs="Arial"/>
          <w:sz w:val="24"/>
          <w:szCs w:val="24"/>
        </w:rPr>
        <w:t>providencias</w:t>
      </w:r>
      <w:r w:rsidRPr="00305AAF">
        <w:rPr>
          <w:rFonts w:ascii="Arial" w:hAnsi="Arial" w:cs="Arial"/>
          <w:sz w:val="24"/>
          <w:szCs w:val="24"/>
        </w:rPr>
        <w:t xml:space="preserve">, acuerdos conciliatorios y laudos arbítrales. </w:t>
      </w:r>
    </w:p>
    <w:p w14:paraId="099CB6EC" w14:textId="77777777" w:rsidR="000B1E29" w:rsidRDefault="000B1E29" w:rsidP="000B1E29">
      <w:pPr>
        <w:spacing w:after="0" w:line="360" w:lineRule="auto"/>
        <w:rPr>
          <w:rFonts w:ascii="Arial" w:hAnsi="Arial" w:cs="Arial"/>
          <w:sz w:val="24"/>
          <w:szCs w:val="24"/>
        </w:rPr>
      </w:pPr>
    </w:p>
    <w:p w14:paraId="65D34F25" w14:textId="2B1F81A8" w:rsidR="000B1E29" w:rsidRDefault="00873D13" w:rsidP="000B1E29">
      <w:pPr>
        <w:spacing w:after="0" w:line="360" w:lineRule="auto"/>
        <w:rPr>
          <w:rFonts w:ascii="Arial" w:hAnsi="Arial" w:cs="Arial"/>
          <w:sz w:val="24"/>
          <w:szCs w:val="24"/>
        </w:rPr>
      </w:pPr>
      <w:r w:rsidRPr="00917C7C">
        <w:rPr>
          <w:rFonts w:ascii="Arial" w:hAnsi="Arial" w:cs="Arial"/>
          <w:sz w:val="24"/>
          <w:szCs w:val="24"/>
        </w:rPr>
        <w:t xml:space="preserve">• </w:t>
      </w:r>
      <w:r w:rsidRPr="00917C7C">
        <w:rPr>
          <w:rFonts w:ascii="Arial" w:hAnsi="Arial" w:cs="Arial"/>
          <w:b/>
          <w:bCs/>
          <w:sz w:val="24"/>
          <w:szCs w:val="24"/>
        </w:rPr>
        <w:t xml:space="preserve">Decisión </w:t>
      </w:r>
      <w:r w:rsidR="00A5242F">
        <w:rPr>
          <w:rFonts w:ascii="Arial" w:hAnsi="Arial" w:cs="Arial"/>
          <w:b/>
          <w:bCs/>
          <w:sz w:val="24"/>
          <w:szCs w:val="24"/>
        </w:rPr>
        <w:t>e</w:t>
      </w:r>
      <w:r w:rsidRPr="00917C7C">
        <w:rPr>
          <w:rFonts w:ascii="Arial" w:hAnsi="Arial" w:cs="Arial"/>
          <w:b/>
          <w:bCs/>
          <w:sz w:val="24"/>
          <w:szCs w:val="24"/>
        </w:rPr>
        <w:t xml:space="preserve">xtrajudicial: </w:t>
      </w:r>
      <w:r w:rsidRPr="00917C7C">
        <w:rPr>
          <w:rFonts w:ascii="Arial" w:hAnsi="Arial" w:cs="Arial"/>
          <w:sz w:val="24"/>
          <w:szCs w:val="24"/>
        </w:rPr>
        <w:t xml:space="preserve">Instrumento que contiene una solución o acuerdo sobre una obligación clara, expresa y exigible, derivada de un método extrajudicial de resolución de controversias legal y de obligatorio cumplimiento. </w:t>
      </w:r>
      <w:r w:rsidR="000B1E29">
        <w:rPr>
          <w:rFonts w:ascii="Arial" w:hAnsi="Arial" w:cs="Arial"/>
          <w:sz w:val="24"/>
          <w:szCs w:val="24"/>
        </w:rPr>
        <w:t xml:space="preserve"> </w:t>
      </w:r>
    </w:p>
    <w:p w14:paraId="11876DC1" w14:textId="77777777" w:rsidR="000B1E29" w:rsidRDefault="000B1E29" w:rsidP="000B1E29">
      <w:pPr>
        <w:spacing w:after="0" w:line="360" w:lineRule="auto"/>
        <w:rPr>
          <w:rFonts w:ascii="Arial" w:hAnsi="Arial" w:cs="Arial"/>
          <w:sz w:val="24"/>
          <w:szCs w:val="24"/>
        </w:rPr>
      </w:pPr>
    </w:p>
    <w:p w14:paraId="7D93ACEB" w14:textId="74A5EFB0" w:rsidR="00873D13" w:rsidRPr="00BA2865" w:rsidRDefault="00873D13" w:rsidP="000B1E29">
      <w:pPr>
        <w:spacing w:after="0" w:line="360" w:lineRule="auto"/>
        <w:rPr>
          <w:rFonts w:ascii="Arial" w:hAnsi="Arial" w:cs="Arial"/>
          <w:sz w:val="24"/>
          <w:szCs w:val="24"/>
        </w:rPr>
      </w:pPr>
      <w:r w:rsidRPr="00BA2865">
        <w:rPr>
          <w:rFonts w:ascii="Arial" w:hAnsi="Arial" w:cs="Arial"/>
          <w:sz w:val="24"/>
          <w:szCs w:val="24"/>
        </w:rPr>
        <w:t xml:space="preserve">• </w:t>
      </w:r>
      <w:r w:rsidRPr="00BA2865">
        <w:rPr>
          <w:rFonts w:ascii="Arial" w:hAnsi="Arial" w:cs="Arial"/>
          <w:b/>
          <w:bCs/>
          <w:sz w:val="24"/>
          <w:szCs w:val="24"/>
        </w:rPr>
        <w:t xml:space="preserve">Laudo </w:t>
      </w:r>
      <w:r w:rsidR="00A5242F">
        <w:rPr>
          <w:rFonts w:ascii="Arial" w:hAnsi="Arial" w:cs="Arial"/>
          <w:b/>
          <w:bCs/>
          <w:sz w:val="24"/>
          <w:szCs w:val="24"/>
        </w:rPr>
        <w:t>a</w:t>
      </w:r>
      <w:r w:rsidRPr="00BA2865">
        <w:rPr>
          <w:rFonts w:ascii="Arial" w:hAnsi="Arial" w:cs="Arial"/>
          <w:b/>
          <w:bCs/>
          <w:sz w:val="24"/>
          <w:szCs w:val="24"/>
        </w:rPr>
        <w:t xml:space="preserve">rbitral: </w:t>
      </w:r>
      <w:r w:rsidRPr="00BA2865">
        <w:rPr>
          <w:rFonts w:ascii="Arial" w:hAnsi="Arial" w:cs="Arial"/>
          <w:sz w:val="24"/>
          <w:szCs w:val="24"/>
        </w:rPr>
        <w:t xml:space="preserve">Decisión que pone fin a un litigio, proferida por un particular que se denomina árbitro, investido transitoriamente con la facultad de administrar justicia en una controversia específica. </w:t>
      </w:r>
    </w:p>
    <w:p w14:paraId="73F35E9E" w14:textId="46977429" w:rsidR="000B1E29" w:rsidRDefault="00873D13" w:rsidP="000B1E29">
      <w:pPr>
        <w:pStyle w:val="Ttulo1"/>
        <w:spacing w:line="360" w:lineRule="auto"/>
        <w:rPr>
          <w:rFonts w:ascii="Arial" w:hAnsi="Arial" w:cs="Arial"/>
          <w:color w:val="auto"/>
          <w:sz w:val="24"/>
          <w:szCs w:val="24"/>
        </w:rPr>
      </w:pPr>
      <w:r w:rsidRPr="0065073C">
        <w:rPr>
          <w:rFonts w:ascii="Arial" w:hAnsi="Arial" w:cs="Arial"/>
          <w:color w:val="auto"/>
          <w:sz w:val="24"/>
          <w:szCs w:val="24"/>
        </w:rPr>
        <w:lastRenderedPageBreak/>
        <w:t xml:space="preserve">• </w:t>
      </w:r>
      <w:r w:rsidRPr="0065073C">
        <w:rPr>
          <w:rFonts w:ascii="Arial" w:hAnsi="Arial" w:cs="Arial"/>
          <w:b/>
          <w:bCs/>
          <w:color w:val="auto"/>
          <w:sz w:val="24"/>
          <w:szCs w:val="24"/>
        </w:rPr>
        <w:t xml:space="preserve">Providencia </w:t>
      </w:r>
      <w:r w:rsidR="00A5242F">
        <w:rPr>
          <w:rFonts w:ascii="Arial" w:hAnsi="Arial" w:cs="Arial"/>
          <w:b/>
          <w:bCs/>
          <w:color w:val="auto"/>
          <w:sz w:val="24"/>
          <w:szCs w:val="24"/>
        </w:rPr>
        <w:t>j</w:t>
      </w:r>
      <w:r w:rsidRPr="0065073C">
        <w:rPr>
          <w:rFonts w:ascii="Arial" w:hAnsi="Arial" w:cs="Arial"/>
          <w:b/>
          <w:bCs/>
          <w:color w:val="auto"/>
          <w:sz w:val="24"/>
          <w:szCs w:val="24"/>
        </w:rPr>
        <w:t xml:space="preserve">udicial: </w:t>
      </w:r>
      <w:r w:rsidRPr="0065073C">
        <w:rPr>
          <w:rFonts w:ascii="Arial" w:hAnsi="Arial" w:cs="Arial"/>
          <w:color w:val="auto"/>
          <w:sz w:val="24"/>
          <w:szCs w:val="24"/>
        </w:rPr>
        <w:t>Decisión</w:t>
      </w:r>
      <w:r w:rsidR="0065073C">
        <w:rPr>
          <w:rFonts w:ascii="Arial" w:hAnsi="Arial" w:cs="Arial"/>
          <w:color w:val="auto"/>
          <w:sz w:val="24"/>
          <w:szCs w:val="24"/>
        </w:rPr>
        <w:t xml:space="preserve"> ejecutoriada</w:t>
      </w:r>
      <w:r w:rsidRPr="0065073C">
        <w:rPr>
          <w:rFonts w:ascii="Arial" w:hAnsi="Arial" w:cs="Arial"/>
          <w:color w:val="auto"/>
          <w:sz w:val="24"/>
          <w:szCs w:val="24"/>
        </w:rPr>
        <w:t xml:space="preserve"> proferida por el titular de un despacho judicial, que resuelve declarando obligaciones y órdenes</w:t>
      </w:r>
      <w:r w:rsidR="00FB2A53">
        <w:rPr>
          <w:rFonts w:ascii="Arial" w:hAnsi="Arial" w:cs="Arial"/>
          <w:color w:val="auto"/>
          <w:sz w:val="24"/>
          <w:szCs w:val="24"/>
        </w:rPr>
        <w:t xml:space="preserve"> económicas</w:t>
      </w:r>
      <w:r w:rsidRPr="0065073C">
        <w:rPr>
          <w:rFonts w:ascii="Arial" w:hAnsi="Arial" w:cs="Arial"/>
          <w:color w:val="auto"/>
          <w:sz w:val="24"/>
          <w:szCs w:val="24"/>
        </w:rPr>
        <w:t xml:space="preserve"> a cargo de la </w:t>
      </w:r>
      <w:r w:rsidR="00A5242F">
        <w:rPr>
          <w:rFonts w:ascii="Arial" w:hAnsi="Arial" w:cs="Arial"/>
          <w:color w:val="auto"/>
          <w:sz w:val="24"/>
          <w:szCs w:val="24"/>
        </w:rPr>
        <w:t>a</w:t>
      </w:r>
      <w:r w:rsidRPr="0065073C">
        <w:rPr>
          <w:rFonts w:ascii="Arial" w:hAnsi="Arial" w:cs="Arial"/>
          <w:color w:val="auto"/>
          <w:sz w:val="24"/>
          <w:szCs w:val="24"/>
        </w:rPr>
        <w:t xml:space="preserve">dministración o de un particular, sean este resultado de la solución de fondo de las pretensiones de la acción judicial mediante sentencias o de la fijación de gastos originados en el trámite del proceso integrado por las </w:t>
      </w:r>
      <w:r w:rsidR="00410F6B">
        <w:rPr>
          <w:rFonts w:ascii="Arial" w:hAnsi="Arial" w:cs="Arial"/>
          <w:color w:val="auto"/>
          <w:sz w:val="24"/>
          <w:szCs w:val="24"/>
        </w:rPr>
        <w:t>fianzas</w:t>
      </w:r>
      <w:r w:rsidRPr="0065073C">
        <w:rPr>
          <w:rFonts w:ascii="Arial" w:hAnsi="Arial" w:cs="Arial"/>
          <w:color w:val="auto"/>
          <w:sz w:val="24"/>
          <w:szCs w:val="24"/>
        </w:rPr>
        <w:t xml:space="preserve">, las cauciones, las multas, las costas y agencias en derecho, las expensas y honorarios mediante autos. </w:t>
      </w:r>
    </w:p>
    <w:p w14:paraId="0B91FC64" w14:textId="3031B362" w:rsidR="008914B1" w:rsidRPr="00C068E3" w:rsidRDefault="005F0262" w:rsidP="000B1E29">
      <w:pPr>
        <w:pStyle w:val="Ttulo1"/>
        <w:spacing w:line="360" w:lineRule="auto"/>
        <w:rPr>
          <w:rFonts w:ascii="Arial" w:hAnsi="Arial" w:cs="Arial"/>
          <w:color w:val="auto"/>
          <w:sz w:val="24"/>
          <w:szCs w:val="24"/>
        </w:rPr>
      </w:pPr>
      <w:r w:rsidRPr="0065073C">
        <w:rPr>
          <w:rFonts w:ascii="Arial" w:hAnsi="Arial" w:cs="Arial"/>
          <w:color w:val="auto"/>
          <w:sz w:val="24"/>
          <w:szCs w:val="24"/>
        </w:rPr>
        <w:t>•</w:t>
      </w:r>
      <w:r>
        <w:rPr>
          <w:rFonts w:ascii="Arial" w:hAnsi="Arial" w:cs="Arial"/>
          <w:color w:val="auto"/>
          <w:sz w:val="24"/>
          <w:szCs w:val="24"/>
        </w:rPr>
        <w:t xml:space="preserve"> </w:t>
      </w:r>
      <w:r w:rsidR="00873D13" w:rsidRPr="00C068E3">
        <w:rPr>
          <w:rFonts w:ascii="Arial" w:hAnsi="Arial" w:cs="Arial"/>
          <w:b/>
          <w:bCs/>
          <w:color w:val="auto"/>
          <w:sz w:val="24"/>
          <w:szCs w:val="24"/>
        </w:rPr>
        <w:t xml:space="preserve">Sentencia </w:t>
      </w:r>
      <w:r w:rsidR="00246C9E">
        <w:rPr>
          <w:rFonts w:ascii="Arial" w:hAnsi="Arial" w:cs="Arial"/>
          <w:b/>
          <w:bCs/>
          <w:color w:val="auto"/>
          <w:sz w:val="24"/>
          <w:szCs w:val="24"/>
        </w:rPr>
        <w:t>e</w:t>
      </w:r>
      <w:r w:rsidR="00873D13" w:rsidRPr="00C068E3">
        <w:rPr>
          <w:rFonts w:ascii="Arial" w:hAnsi="Arial" w:cs="Arial"/>
          <w:b/>
          <w:bCs/>
          <w:color w:val="auto"/>
          <w:sz w:val="24"/>
          <w:szCs w:val="24"/>
        </w:rPr>
        <w:t xml:space="preserve">jecutoriada: </w:t>
      </w:r>
      <w:r w:rsidR="00873D13" w:rsidRPr="00C068E3">
        <w:rPr>
          <w:rFonts w:ascii="Arial" w:hAnsi="Arial" w:cs="Arial"/>
          <w:color w:val="auto"/>
          <w:sz w:val="24"/>
          <w:szCs w:val="24"/>
        </w:rPr>
        <w:t>Sentencia que ya no admite recurso judicial alguno, en la que se puede exigir el cumplimiento incidental o iniciar demanda ejecutiva de acuerdo con el caso concreto. Se dice que la causa está "ejecutoriada", cuando ya han terminado todos los trámites legales y produce además el efecto jurídico de cosa juzgada.</w:t>
      </w:r>
    </w:p>
    <w:p w14:paraId="7983C08B" w14:textId="77777777" w:rsidR="00873D13" w:rsidRPr="005B684F" w:rsidRDefault="00873D13" w:rsidP="00873D13"/>
    <w:p w14:paraId="65BA2FC6" w14:textId="77777777" w:rsidR="00873D13" w:rsidRPr="005B684F" w:rsidRDefault="00873D13" w:rsidP="00873D13"/>
    <w:p w14:paraId="09BC5220" w14:textId="105E4537" w:rsidR="005129B1" w:rsidRPr="005B684F" w:rsidRDefault="005129B1" w:rsidP="00F23750">
      <w:pPr>
        <w:pStyle w:val="Ttulo1"/>
        <w:spacing w:before="0" w:line="360" w:lineRule="auto"/>
        <w:rPr>
          <w:rFonts w:ascii="Arial" w:hAnsi="Arial" w:cs="Arial"/>
          <w:b/>
          <w:bCs/>
          <w:color w:val="auto"/>
          <w:sz w:val="24"/>
          <w:szCs w:val="24"/>
          <w:shd w:val="clear" w:color="auto" w:fill="FFFFFF"/>
        </w:rPr>
      </w:pPr>
      <w:r w:rsidRPr="005B684F">
        <w:rPr>
          <w:rFonts w:ascii="Arial" w:hAnsi="Arial" w:cs="Arial"/>
          <w:b/>
          <w:bCs/>
          <w:color w:val="auto"/>
          <w:sz w:val="24"/>
          <w:szCs w:val="24"/>
          <w:shd w:val="clear" w:color="auto" w:fill="FFFFFF"/>
        </w:rPr>
        <w:t>ABREVIATURAS</w:t>
      </w:r>
    </w:p>
    <w:p w14:paraId="5046917F" w14:textId="3D19AA87" w:rsidR="00204D83" w:rsidRDefault="00204D83" w:rsidP="002F728A">
      <w:pPr>
        <w:spacing w:after="0" w:line="360" w:lineRule="auto"/>
        <w:rPr>
          <w:rFonts w:ascii="Arial" w:hAnsi="Arial" w:cs="Arial"/>
          <w:sz w:val="24"/>
          <w:szCs w:val="24"/>
          <w:shd w:val="clear" w:color="auto" w:fill="FFFFFF"/>
        </w:rPr>
      </w:pPr>
      <w:r>
        <w:rPr>
          <w:rFonts w:ascii="Arial" w:hAnsi="Arial" w:cs="Arial"/>
          <w:sz w:val="24"/>
          <w:szCs w:val="24"/>
          <w:shd w:val="clear" w:color="auto" w:fill="FFFFFF"/>
        </w:rPr>
        <w:br/>
      </w:r>
      <w:r w:rsidRPr="001957BA">
        <w:rPr>
          <w:rFonts w:ascii="Arial" w:hAnsi="Arial" w:cs="Arial"/>
          <w:b/>
          <w:bCs/>
          <w:sz w:val="24"/>
          <w:szCs w:val="24"/>
          <w:shd w:val="clear" w:color="auto" w:fill="FFFFFF"/>
        </w:rPr>
        <w:t>SNS</w:t>
      </w:r>
      <w:r>
        <w:rPr>
          <w:rFonts w:ascii="Arial" w:hAnsi="Arial" w:cs="Arial"/>
          <w:sz w:val="24"/>
          <w:szCs w:val="24"/>
          <w:shd w:val="clear" w:color="auto" w:fill="FFFFFF"/>
        </w:rPr>
        <w:t xml:space="preserve"> Superintendencia Nacional de salud</w:t>
      </w:r>
    </w:p>
    <w:p w14:paraId="20EA6CBE" w14:textId="77777777" w:rsidR="00204D83" w:rsidRDefault="00204D83" w:rsidP="002F728A">
      <w:pPr>
        <w:spacing w:after="0" w:line="360" w:lineRule="auto"/>
        <w:rPr>
          <w:rFonts w:ascii="Arial" w:hAnsi="Arial" w:cs="Arial"/>
          <w:sz w:val="24"/>
          <w:szCs w:val="24"/>
          <w:shd w:val="clear" w:color="auto" w:fill="FFFFFF"/>
        </w:rPr>
      </w:pPr>
    </w:p>
    <w:p w14:paraId="03877D21" w14:textId="77777777" w:rsidR="00204D83" w:rsidRPr="005B684F" w:rsidRDefault="00204D83" w:rsidP="002F728A">
      <w:pPr>
        <w:spacing w:after="0" w:line="360" w:lineRule="auto"/>
        <w:rPr>
          <w:rFonts w:ascii="Arial" w:hAnsi="Arial" w:cs="Arial"/>
          <w:sz w:val="24"/>
          <w:szCs w:val="24"/>
          <w:shd w:val="clear" w:color="auto" w:fill="FFFFFF"/>
        </w:rPr>
      </w:pPr>
    </w:p>
    <w:p w14:paraId="23985815" w14:textId="77777777" w:rsidR="00AF7D06" w:rsidRDefault="00AF7D06" w:rsidP="00F23750">
      <w:pPr>
        <w:spacing w:after="0" w:line="360" w:lineRule="auto"/>
        <w:rPr>
          <w:rFonts w:ascii="Arial" w:hAnsi="Arial" w:cs="Arial"/>
          <w:sz w:val="24"/>
          <w:szCs w:val="24"/>
          <w:shd w:val="clear" w:color="auto" w:fill="FFFFFF"/>
        </w:rPr>
      </w:pPr>
    </w:p>
    <w:p w14:paraId="5A1A775E" w14:textId="77777777" w:rsidR="005F0262" w:rsidRDefault="005F0262" w:rsidP="00F23750">
      <w:pPr>
        <w:spacing w:after="0" w:line="360" w:lineRule="auto"/>
        <w:rPr>
          <w:rFonts w:ascii="Arial" w:hAnsi="Arial" w:cs="Arial"/>
          <w:sz w:val="24"/>
          <w:szCs w:val="24"/>
          <w:shd w:val="clear" w:color="auto" w:fill="FFFFFF"/>
        </w:rPr>
      </w:pPr>
    </w:p>
    <w:p w14:paraId="087C1688" w14:textId="77777777" w:rsidR="005F0262" w:rsidRPr="005B684F" w:rsidRDefault="005F0262" w:rsidP="00F23750">
      <w:pPr>
        <w:spacing w:after="0" w:line="360" w:lineRule="auto"/>
        <w:rPr>
          <w:rFonts w:ascii="Arial" w:hAnsi="Arial" w:cs="Arial"/>
          <w:sz w:val="24"/>
          <w:szCs w:val="24"/>
          <w:shd w:val="clear" w:color="auto" w:fill="FFFFFF"/>
        </w:rPr>
      </w:pPr>
    </w:p>
    <w:p w14:paraId="62693342" w14:textId="068E4FDD" w:rsidR="00AF7D06" w:rsidRPr="005B684F" w:rsidRDefault="00AF7D06" w:rsidP="00AF7D06">
      <w:pPr>
        <w:pStyle w:val="Ttulo1"/>
        <w:spacing w:before="0" w:line="360" w:lineRule="auto"/>
        <w:rPr>
          <w:rFonts w:ascii="Arial" w:hAnsi="Arial" w:cs="Arial"/>
          <w:b/>
          <w:bCs/>
          <w:color w:val="auto"/>
          <w:sz w:val="24"/>
          <w:szCs w:val="24"/>
          <w:shd w:val="clear" w:color="auto" w:fill="FFFFFF"/>
        </w:rPr>
      </w:pPr>
      <w:r w:rsidRPr="005B684F">
        <w:rPr>
          <w:rFonts w:ascii="Arial" w:hAnsi="Arial" w:cs="Arial"/>
          <w:b/>
          <w:bCs/>
          <w:color w:val="auto"/>
          <w:sz w:val="24"/>
          <w:szCs w:val="24"/>
          <w:shd w:val="clear" w:color="auto" w:fill="FFFFFF"/>
        </w:rPr>
        <w:lastRenderedPageBreak/>
        <w:t xml:space="preserve">LINEAMIENTOS GENERALES O POLÍTICAS DE OPERACIÓN </w:t>
      </w:r>
    </w:p>
    <w:p w14:paraId="7833D07E" w14:textId="7A4B1971" w:rsidR="00AF7D06" w:rsidRPr="00204D83" w:rsidRDefault="00AF7D06" w:rsidP="00D5226E">
      <w:pPr>
        <w:spacing w:line="360" w:lineRule="auto"/>
        <w:rPr>
          <w:rFonts w:ascii="Arial" w:hAnsi="Arial" w:cs="Arial"/>
          <w:color w:val="00B0F0"/>
          <w:sz w:val="24"/>
          <w:szCs w:val="24"/>
          <w:shd w:val="clear" w:color="auto" w:fill="FFFFFF"/>
        </w:rPr>
      </w:pPr>
    </w:p>
    <w:p w14:paraId="186C372B" w14:textId="64372AF2" w:rsidR="00873D13" w:rsidRPr="00873D13" w:rsidRDefault="00873D13" w:rsidP="00873D13">
      <w:pPr>
        <w:spacing w:line="360" w:lineRule="auto"/>
        <w:rPr>
          <w:rFonts w:ascii="Arial" w:hAnsi="Arial" w:cs="Arial"/>
          <w:sz w:val="24"/>
          <w:szCs w:val="24"/>
          <w:shd w:val="clear" w:color="auto" w:fill="FFFFFF"/>
        </w:rPr>
      </w:pPr>
      <w:r w:rsidRPr="00873D13">
        <w:rPr>
          <w:rFonts w:ascii="Arial" w:hAnsi="Arial" w:cs="Arial"/>
          <w:sz w:val="24"/>
          <w:szCs w:val="24"/>
          <w:shd w:val="clear" w:color="auto" w:fill="FFFFFF"/>
        </w:rPr>
        <w:t>• El presente procedimiento se aplicará para el cumplimiento de las siguientes decisiones: Las sentencias debidamente ejecutoriadas, laudos arbitrales debidamente ejecutoriados y las actas de conciliaci</w:t>
      </w:r>
      <w:r w:rsidR="00347CCC">
        <w:rPr>
          <w:rFonts w:ascii="Arial" w:hAnsi="Arial" w:cs="Arial"/>
          <w:sz w:val="24"/>
          <w:szCs w:val="24"/>
          <w:shd w:val="clear" w:color="auto" w:fill="FFFFFF"/>
        </w:rPr>
        <w:t>ón</w:t>
      </w:r>
      <w:r w:rsidRPr="00873D13">
        <w:rPr>
          <w:rFonts w:ascii="Arial" w:hAnsi="Arial" w:cs="Arial"/>
          <w:sz w:val="24"/>
          <w:szCs w:val="24"/>
          <w:shd w:val="clear" w:color="auto" w:fill="FFFFFF"/>
        </w:rPr>
        <w:t xml:space="preserve"> debidamente aprobadas. </w:t>
      </w:r>
    </w:p>
    <w:p w14:paraId="0A8D3561" w14:textId="77777777" w:rsidR="00873D13" w:rsidRDefault="00873D13" w:rsidP="00873D13">
      <w:pPr>
        <w:spacing w:line="360" w:lineRule="auto"/>
        <w:rPr>
          <w:rFonts w:ascii="Arial" w:hAnsi="Arial" w:cs="Arial"/>
          <w:sz w:val="24"/>
          <w:szCs w:val="24"/>
          <w:shd w:val="clear" w:color="auto" w:fill="FFFFFF"/>
        </w:rPr>
      </w:pPr>
      <w:r w:rsidRPr="00873D13">
        <w:rPr>
          <w:rFonts w:ascii="Arial" w:hAnsi="Arial" w:cs="Arial"/>
          <w:sz w:val="24"/>
          <w:szCs w:val="24"/>
          <w:shd w:val="clear" w:color="auto" w:fill="FFFFFF"/>
        </w:rPr>
        <w:t xml:space="preserve">• Requisitos de la solicitud de pago por parte del beneficiario: </w:t>
      </w:r>
    </w:p>
    <w:p w14:paraId="66458C06" w14:textId="77777777" w:rsidR="00873D13" w:rsidRPr="00873D13" w:rsidRDefault="00873D13" w:rsidP="00873D13">
      <w:pPr>
        <w:spacing w:line="360" w:lineRule="auto"/>
        <w:rPr>
          <w:rFonts w:ascii="Arial" w:hAnsi="Arial" w:cs="Arial"/>
          <w:sz w:val="24"/>
          <w:szCs w:val="24"/>
          <w:shd w:val="clear" w:color="auto" w:fill="FFFFFF"/>
        </w:rPr>
      </w:pPr>
      <w:r w:rsidRPr="00873D13">
        <w:rPr>
          <w:rFonts w:ascii="Arial" w:hAnsi="Arial" w:cs="Arial"/>
          <w:sz w:val="24"/>
          <w:szCs w:val="24"/>
          <w:shd w:val="clear" w:color="auto" w:fill="FFFFFF"/>
        </w:rPr>
        <w:t xml:space="preserve">a) Solicitud de pago: Indicando nombres y apellidos o razón social completos del beneficiario de la sentencia, laudo arbitral o acuerdo conciliatorio; tipo y número de identificación del beneficiario acompañando copia de la misma. </w:t>
      </w:r>
    </w:p>
    <w:p w14:paraId="1519AE74" w14:textId="1B935F69" w:rsidR="00873D13" w:rsidRPr="00873D13" w:rsidRDefault="00873D13" w:rsidP="00873D13">
      <w:pPr>
        <w:spacing w:line="360" w:lineRule="auto"/>
        <w:rPr>
          <w:rFonts w:ascii="Arial" w:hAnsi="Arial" w:cs="Arial"/>
          <w:sz w:val="24"/>
          <w:szCs w:val="24"/>
          <w:shd w:val="clear" w:color="auto" w:fill="FFFFFF"/>
        </w:rPr>
      </w:pPr>
      <w:r w:rsidRPr="00873D13">
        <w:rPr>
          <w:rFonts w:ascii="Arial" w:hAnsi="Arial" w:cs="Arial"/>
          <w:sz w:val="24"/>
          <w:szCs w:val="24"/>
          <w:shd w:val="clear" w:color="auto" w:fill="FFFFFF"/>
        </w:rPr>
        <w:t>b) Calidad en que se actúa</w:t>
      </w:r>
      <w:r w:rsidR="00347CCC">
        <w:rPr>
          <w:rFonts w:ascii="Arial" w:hAnsi="Arial" w:cs="Arial"/>
          <w:sz w:val="24"/>
          <w:szCs w:val="24"/>
          <w:shd w:val="clear" w:color="auto" w:fill="FFFFFF"/>
        </w:rPr>
        <w:t xml:space="preserve">: </w:t>
      </w:r>
      <w:r w:rsidRPr="00873D13">
        <w:rPr>
          <w:rFonts w:ascii="Arial" w:hAnsi="Arial" w:cs="Arial"/>
          <w:sz w:val="24"/>
          <w:szCs w:val="24"/>
          <w:shd w:val="clear" w:color="auto" w:fill="FFFFFF"/>
        </w:rPr>
        <w:t xml:space="preserve"> </w:t>
      </w:r>
      <w:r w:rsidR="00347CCC">
        <w:rPr>
          <w:rFonts w:ascii="Arial" w:hAnsi="Arial" w:cs="Arial"/>
          <w:sz w:val="24"/>
          <w:szCs w:val="24"/>
          <w:shd w:val="clear" w:color="auto" w:fill="FFFFFF"/>
        </w:rPr>
        <w:t>E</w:t>
      </w:r>
      <w:r w:rsidRPr="00873D13">
        <w:rPr>
          <w:rFonts w:ascii="Arial" w:hAnsi="Arial" w:cs="Arial"/>
          <w:sz w:val="24"/>
          <w:szCs w:val="24"/>
          <w:shd w:val="clear" w:color="auto" w:fill="FFFFFF"/>
        </w:rPr>
        <w:t>n caso de actuar a través de apoderado, deberá anexar el poder debidamente otorgado para solicitar el pago de la conciliación o el crédito judicialmente reconocido</w:t>
      </w:r>
      <w:r w:rsidR="00347CCC">
        <w:rPr>
          <w:rFonts w:ascii="Arial" w:hAnsi="Arial" w:cs="Arial"/>
          <w:sz w:val="24"/>
          <w:szCs w:val="24"/>
          <w:shd w:val="clear" w:color="auto" w:fill="FFFFFF"/>
        </w:rPr>
        <w:t>.</w:t>
      </w:r>
      <w:r w:rsidRPr="00873D13">
        <w:rPr>
          <w:rFonts w:ascii="Arial" w:hAnsi="Arial" w:cs="Arial"/>
          <w:sz w:val="24"/>
          <w:szCs w:val="24"/>
          <w:shd w:val="clear" w:color="auto" w:fill="FFFFFF"/>
        </w:rPr>
        <w:t xml:space="preserve"> </w:t>
      </w:r>
      <w:r w:rsidR="00347CCC">
        <w:rPr>
          <w:rFonts w:ascii="Arial" w:hAnsi="Arial" w:cs="Arial"/>
          <w:sz w:val="24"/>
          <w:szCs w:val="24"/>
          <w:shd w:val="clear" w:color="auto" w:fill="FFFFFF"/>
        </w:rPr>
        <w:t>E</w:t>
      </w:r>
      <w:r w:rsidRPr="00873D13">
        <w:rPr>
          <w:rFonts w:ascii="Arial" w:hAnsi="Arial" w:cs="Arial"/>
          <w:sz w:val="24"/>
          <w:szCs w:val="24"/>
          <w:shd w:val="clear" w:color="auto" w:fill="FFFFFF"/>
        </w:rPr>
        <w:t>l poder deberá contener los requisitos de ley, los cuales consta de tener presentación personal ante Notar</w:t>
      </w:r>
      <w:r w:rsidR="00246C9E">
        <w:rPr>
          <w:rFonts w:ascii="Arial" w:hAnsi="Arial" w:cs="Arial"/>
          <w:sz w:val="24"/>
          <w:szCs w:val="24"/>
          <w:shd w:val="clear" w:color="auto" w:fill="FFFFFF"/>
        </w:rPr>
        <w:t>í</w:t>
      </w:r>
      <w:r w:rsidRPr="00873D13">
        <w:rPr>
          <w:rFonts w:ascii="Arial" w:hAnsi="Arial" w:cs="Arial"/>
          <w:sz w:val="24"/>
          <w:szCs w:val="24"/>
          <w:shd w:val="clear" w:color="auto" w:fill="FFFFFF"/>
        </w:rPr>
        <w:t xml:space="preserve">a, deberá incluir explícitamente la facultad de recibir dinero y estar dirigido </w:t>
      </w:r>
      <w:r w:rsidR="004B007F" w:rsidRPr="005B684F">
        <w:rPr>
          <w:rFonts w:ascii="Arial" w:hAnsi="Arial" w:cs="Arial"/>
          <w:sz w:val="24"/>
          <w:szCs w:val="24"/>
          <w:shd w:val="clear" w:color="auto" w:fill="FFFFFF"/>
        </w:rPr>
        <w:t>a la SNS</w:t>
      </w:r>
      <w:r w:rsidRPr="00873D13">
        <w:rPr>
          <w:rFonts w:ascii="Arial" w:hAnsi="Arial" w:cs="Arial"/>
          <w:sz w:val="24"/>
          <w:szCs w:val="24"/>
          <w:shd w:val="clear" w:color="auto" w:fill="FFFFFF"/>
        </w:rPr>
        <w:t xml:space="preserve">. Adicionalmente, tendrá que anexar copia legible de la Tarjeta Profesional, documento de identidad y la certificación expedida por el correspondiente despacho judicial sobre la vigencia del poder, en caso de ser necesario. </w:t>
      </w:r>
    </w:p>
    <w:p w14:paraId="15465DAD" w14:textId="77777777" w:rsidR="00873D13" w:rsidRPr="00873D13" w:rsidRDefault="00873D13" w:rsidP="00873D13">
      <w:pPr>
        <w:spacing w:line="360" w:lineRule="auto"/>
        <w:rPr>
          <w:rFonts w:ascii="Arial" w:hAnsi="Arial" w:cs="Arial"/>
          <w:sz w:val="24"/>
          <w:szCs w:val="24"/>
          <w:shd w:val="clear" w:color="auto" w:fill="FFFFFF"/>
        </w:rPr>
      </w:pPr>
      <w:r w:rsidRPr="00873D13">
        <w:rPr>
          <w:rFonts w:ascii="Arial" w:hAnsi="Arial" w:cs="Arial"/>
          <w:sz w:val="24"/>
          <w:szCs w:val="24"/>
          <w:shd w:val="clear" w:color="auto" w:fill="FFFFFF"/>
        </w:rPr>
        <w:t xml:space="preserve">c) Datos de identificación, teléfono, dirección física y electrónica de los beneficiarios y sus apoderados, así como la manifestación de la aceptación de notificación electrónica, si es el caso. </w:t>
      </w:r>
    </w:p>
    <w:p w14:paraId="47847EE7" w14:textId="77777777" w:rsidR="00873D13" w:rsidRPr="00873D13" w:rsidRDefault="00873D13" w:rsidP="00873D13">
      <w:pPr>
        <w:spacing w:line="360" w:lineRule="auto"/>
        <w:rPr>
          <w:rFonts w:ascii="Arial" w:hAnsi="Arial" w:cs="Arial"/>
          <w:sz w:val="24"/>
          <w:szCs w:val="24"/>
          <w:shd w:val="clear" w:color="auto" w:fill="FFFFFF"/>
        </w:rPr>
      </w:pPr>
      <w:r w:rsidRPr="00873D13">
        <w:rPr>
          <w:rFonts w:ascii="Arial" w:hAnsi="Arial" w:cs="Arial"/>
          <w:sz w:val="24"/>
          <w:szCs w:val="24"/>
          <w:shd w:val="clear" w:color="auto" w:fill="FFFFFF"/>
        </w:rPr>
        <w:t xml:space="preserve">d) Número de radicado completo (los 23 dígitos que identifica el proceso judicial). </w:t>
      </w:r>
    </w:p>
    <w:p w14:paraId="41054194" w14:textId="77777777" w:rsidR="00873D13" w:rsidRPr="00873D13" w:rsidRDefault="00873D13" w:rsidP="00873D13">
      <w:pPr>
        <w:spacing w:line="360" w:lineRule="auto"/>
        <w:rPr>
          <w:rFonts w:ascii="Arial" w:hAnsi="Arial" w:cs="Arial"/>
          <w:sz w:val="24"/>
          <w:szCs w:val="24"/>
          <w:shd w:val="clear" w:color="auto" w:fill="FFFFFF"/>
        </w:rPr>
      </w:pPr>
      <w:r w:rsidRPr="00873D13">
        <w:rPr>
          <w:rFonts w:ascii="Arial" w:hAnsi="Arial" w:cs="Arial"/>
          <w:sz w:val="24"/>
          <w:szCs w:val="24"/>
          <w:shd w:val="clear" w:color="auto" w:fill="FFFFFF"/>
        </w:rPr>
        <w:lastRenderedPageBreak/>
        <w:t xml:space="preserve">e) Copia de la sentencia, laudo arbitral o acta y auto de aprobación de la conciliación con fecha y constancia de ejecutoria y de ser primera copia que presta mérito ejecutivo expedida por el despacho judicial de conocimiento. </w:t>
      </w:r>
    </w:p>
    <w:p w14:paraId="01B1A68F" w14:textId="77777777" w:rsidR="00873D13" w:rsidRPr="00873D13" w:rsidRDefault="00873D13" w:rsidP="00873D13">
      <w:pPr>
        <w:spacing w:line="360" w:lineRule="auto"/>
        <w:rPr>
          <w:rFonts w:ascii="Arial" w:hAnsi="Arial" w:cs="Arial"/>
          <w:sz w:val="24"/>
          <w:szCs w:val="24"/>
          <w:shd w:val="clear" w:color="auto" w:fill="FFFFFF"/>
        </w:rPr>
      </w:pPr>
      <w:r w:rsidRPr="00873D13">
        <w:rPr>
          <w:rFonts w:ascii="Arial" w:hAnsi="Arial" w:cs="Arial"/>
          <w:sz w:val="24"/>
          <w:szCs w:val="24"/>
          <w:shd w:val="clear" w:color="auto" w:fill="FFFFFF"/>
        </w:rPr>
        <w:t xml:space="preserve">f) Declaración bajo la gravedad del juramento manifestando que no se ha recibido pago alguno, ni presentado otra solicitud de pago por el mismo concepto, ni proceso ejecutivo para hacer efectivo el cumplimiento de la sentencia. </w:t>
      </w:r>
    </w:p>
    <w:p w14:paraId="174F5C9F" w14:textId="53B08C32" w:rsidR="00873D13" w:rsidRPr="00873D13" w:rsidRDefault="00873D13" w:rsidP="00873D13">
      <w:pPr>
        <w:spacing w:line="360" w:lineRule="auto"/>
        <w:rPr>
          <w:rFonts w:ascii="Arial" w:hAnsi="Arial" w:cs="Arial"/>
          <w:sz w:val="24"/>
          <w:szCs w:val="24"/>
          <w:shd w:val="clear" w:color="auto" w:fill="FFFFFF"/>
        </w:rPr>
      </w:pPr>
      <w:r w:rsidRPr="00873D13">
        <w:rPr>
          <w:rFonts w:ascii="Arial" w:hAnsi="Arial" w:cs="Arial"/>
          <w:sz w:val="24"/>
          <w:szCs w:val="24"/>
          <w:shd w:val="clear" w:color="auto" w:fill="FFFFFF"/>
        </w:rPr>
        <w:t>g) Certificación expedida por la entidad bancaria respectiva en donde conste el número de cuenta, nombre del cuentahabiente, identificación, tipo de cuenta y s</w:t>
      </w:r>
      <w:r w:rsidR="00347CCC">
        <w:rPr>
          <w:rFonts w:ascii="Arial" w:hAnsi="Arial" w:cs="Arial"/>
          <w:sz w:val="24"/>
          <w:szCs w:val="24"/>
          <w:shd w:val="clear" w:color="auto" w:fill="FFFFFF"/>
        </w:rPr>
        <w:t>i</w:t>
      </w:r>
      <w:r w:rsidRPr="00873D13">
        <w:rPr>
          <w:rFonts w:ascii="Arial" w:hAnsi="Arial" w:cs="Arial"/>
          <w:sz w:val="24"/>
          <w:szCs w:val="24"/>
          <w:shd w:val="clear" w:color="auto" w:fill="FFFFFF"/>
        </w:rPr>
        <w:t xml:space="preserve"> a la fecha se encuentra activa, no mayor a 30 días. </w:t>
      </w:r>
    </w:p>
    <w:p w14:paraId="5AA0FABB" w14:textId="0B8004BE" w:rsidR="00873D13" w:rsidRPr="00873D13" w:rsidRDefault="00873D13" w:rsidP="00873D13">
      <w:pPr>
        <w:spacing w:line="360" w:lineRule="auto"/>
        <w:rPr>
          <w:rFonts w:ascii="Arial" w:hAnsi="Arial" w:cs="Arial"/>
          <w:sz w:val="24"/>
          <w:szCs w:val="24"/>
          <w:shd w:val="clear" w:color="auto" w:fill="FFFFFF"/>
        </w:rPr>
      </w:pPr>
      <w:r w:rsidRPr="00873D13">
        <w:rPr>
          <w:rFonts w:ascii="Arial" w:hAnsi="Arial" w:cs="Arial"/>
          <w:sz w:val="24"/>
          <w:szCs w:val="24"/>
          <w:shd w:val="clear" w:color="auto" w:fill="FFFFFF"/>
        </w:rPr>
        <w:t xml:space="preserve">h) Los demás documentos que por razón del contenido de la condena u obligación, sean necesarios para liquidar su valor y que no estén o no deban estar en poder de la entidad. </w:t>
      </w:r>
    </w:p>
    <w:p w14:paraId="6CBFC6E6" w14:textId="77777777" w:rsidR="00873D13" w:rsidRPr="00873D13" w:rsidRDefault="00873D13" w:rsidP="00873D13">
      <w:pPr>
        <w:spacing w:line="360" w:lineRule="auto"/>
        <w:rPr>
          <w:rFonts w:ascii="Arial" w:hAnsi="Arial" w:cs="Arial"/>
          <w:sz w:val="24"/>
          <w:szCs w:val="24"/>
          <w:shd w:val="clear" w:color="auto" w:fill="FFFFFF"/>
        </w:rPr>
      </w:pPr>
      <w:r w:rsidRPr="00873D13">
        <w:rPr>
          <w:rFonts w:ascii="Arial" w:hAnsi="Arial" w:cs="Arial"/>
          <w:sz w:val="24"/>
          <w:szCs w:val="24"/>
          <w:shd w:val="clear" w:color="auto" w:fill="FFFFFF"/>
        </w:rPr>
        <w:t xml:space="preserve">i) Teniendo en cuenta la calidad del beneficiario se deberá acreditar lo siguiente: </w:t>
      </w:r>
    </w:p>
    <w:p w14:paraId="143E6622" w14:textId="77777777" w:rsidR="00873D13" w:rsidRPr="00873D13" w:rsidRDefault="00873D13" w:rsidP="00873D13">
      <w:pPr>
        <w:spacing w:line="360" w:lineRule="auto"/>
        <w:rPr>
          <w:rFonts w:ascii="Arial" w:hAnsi="Arial" w:cs="Arial"/>
          <w:sz w:val="24"/>
          <w:szCs w:val="24"/>
          <w:shd w:val="clear" w:color="auto" w:fill="FFFFFF"/>
        </w:rPr>
      </w:pPr>
      <w:r w:rsidRPr="00873D13">
        <w:rPr>
          <w:rFonts w:ascii="Arial" w:hAnsi="Arial" w:cs="Arial"/>
          <w:sz w:val="24"/>
          <w:szCs w:val="24"/>
          <w:shd w:val="clear" w:color="auto" w:fill="FFFFFF"/>
        </w:rPr>
        <w:t xml:space="preserve">- Menores de edad: Si el beneficiario del título ejecutivo es menor de edad, debe solicitarse a través de su representante o apoderado por él constituido, para lo cual deberá aportar el registro civil de nacimiento en original del menor, en donde se constate tal calidad. Si en el transcurso del proceso judicial o del trámite de la solicitud de pago, el beneficiario cumple la mayoría de edad, deberá aportarse la ratificación del poder existente o nuevo poder. </w:t>
      </w:r>
    </w:p>
    <w:p w14:paraId="38E0F481" w14:textId="0BEDF438" w:rsidR="00873D13" w:rsidRPr="00873D13" w:rsidRDefault="00873D13" w:rsidP="00873D13">
      <w:pPr>
        <w:spacing w:line="360" w:lineRule="auto"/>
        <w:rPr>
          <w:rFonts w:ascii="Arial" w:hAnsi="Arial" w:cs="Arial"/>
          <w:sz w:val="24"/>
          <w:szCs w:val="24"/>
          <w:shd w:val="clear" w:color="auto" w:fill="FFFFFF"/>
        </w:rPr>
      </w:pPr>
      <w:r w:rsidRPr="00873D13">
        <w:rPr>
          <w:rFonts w:ascii="Arial" w:hAnsi="Arial" w:cs="Arial"/>
          <w:sz w:val="24"/>
          <w:szCs w:val="24"/>
          <w:shd w:val="clear" w:color="auto" w:fill="FFFFFF"/>
        </w:rPr>
        <w:t xml:space="preserve">- Beneficiarios fallecidos: En caso de fallecimiento del beneficiario de la decisión judicial, el pago se efectuará a los herederos, siempre que eleven la respectiva solicitud ante </w:t>
      </w:r>
      <w:r w:rsidR="004B007F" w:rsidRPr="005B684F">
        <w:rPr>
          <w:rFonts w:ascii="Arial" w:hAnsi="Arial" w:cs="Arial"/>
          <w:sz w:val="24"/>
          <w:szCs w:val="24"/>
          <w:shd w:val="clear" w:color="auto" w:fill="FFFFFF"/>
        </w:rPr>
        <w:t>la Dirección</w:t>
      </w:r>
      <w:r w:rsidRPr="00873D13">
        <w:rPr>
          <w:rFonts w:ascii="Arial" w:hAnsi="Arial" w:cs="Arial"/>
          <w:sz w:val="24"/>
          <w:szCs w:val="24"/>
          <w:shd w:val="clear" w:color="auto" w:fill="FFFFFF"/>
        </w:rPr>
        <w:t xml:space="preserve"> Jurídica y alleguen los siguientes documentos: (i) Copia auténtica del registro o acta de defunción del beneficiario. (ii) Copia auténtica de la sentencia que acepta la </w:t>
      </w:r>
      <w:r w:rsidRPr="00873D13">
        <w:rPr>
          <w:rFonts w:ascii="Arial" w:hAnsi="Arial" w:cs="Arial"/>
          <w:sz w:val="24"/>
          <w:szCs w:val="24"/>
          <w:shd w:val="clear" w:color="auto" w:fill="FFFFFF"/>
        </w:rPr>
        <w:lastRenderedPageBreak/>
        <w:t xml:space="preserve">partición efectuada en el respectivo proceso sucesoral, debidamente ejecutoriada o de la escritura pública donde consta la asignación del crédito al heredero. </w:t>
      </w:r>
    </w:p>
    <w:p w14:paraId="2910BDA6" w14:textId="77777777" w:rsidR="00873D13" w:rsidRPr="00873D13" w:rsidRDefault="00873D13" w:rsidP="00873D13">
      <w:pPr>
        <w:spacing w:line="360" w:lineRule="auto"/>
        <w:rPr>
          <w:rFonts w:ascii="Arial" w:hAnsi="Arial" w:cs="Arial"/>
          <w:sz w:val="24"/>
          <w:szCs w:val="24"/>
          <w:shd w:val="clear" w:color="auto" w:fill="FFFFFF"/>
        </w:rPr>
      </w:pPr>
      <w:r w:rsidRPr="00873D13">
        <w:rPr>
          <w:rFonts w:ascii="Arial" w:hAnsi="Arial" w:cs="Arial"/>
          <w:sz w:val="24"/>
          <w:szCs w:val="24"/>
          <w:shd w:val="clear" w:color="auto" w:fill="FFFFFF"/>
        </w:rPr>
        <w:t xml:space="preserve">- Beneficiario persona jurídica. Si el beneficiario es una persona jurídica, deberá acreditar su existencia y representación legal, a través de certificación expedida por la Cámara de Comercio del domicilio, no mayor a 30 días. </w:t>
      </w:r>
    </w:p>
    <w:p w14:paraId="02485968" w14:textId="77777777" w:rsidR="00873D13" w:rsidRPr="00873D13" w:rsidRDefault="00873D13" w:rsidP="00873D13">
      <w:pPr>
        <w:spacing w:line="360" w:lineRule="auto"/>
        <w:rPr>
          <w:rFonts w:ascii="Arial" w:hAnsi="Arial" w:cs="Arial"/>
          <w:sz w:val="24"/>
          <w:szCs w:val="24"/>
          <w:shd w:val="clear" w:color="auto" w:fill="FFFFFF"/>
        </w:rPr>
      </w:pPr>
      <w:r w:rsidRPr="00873D13">
        <w:rPr>
          <w:rFonts w:ascii="Arial" w:hAnsi="Arial" w:cs="Arial"/>
          <w:sz w:val="24"/>
          <w:szCs w:val="24"/>
          <w:shd w:val="clear" w:color="auto" w:fill="FFFFFF"/>
        </w:rPr>
        <w:t xml:space="preserve">• El término de presentación de la solicitud de pago por parte de los beneficiarios es dentro de los tres (3) meses siguientes a la ejecutoria de la providencia judicial, en caso contrario, se suspenderá la causación de intereses, los cuales se reanudarán cuando se presente la solicitud con el lleno de los requisitos aquí establecidos, tal como lo señala el inciso 5º del art. 192 de la Ley 1437 de 2011. </w:t>
      </w:r>
    </w:p>
    <w:p w14:paraId="6A1E9CF5" w14:textId="77777777" w:rsidR="00337812" w:rsidRPr="005B684F" w:rsidRDefault="00337812" w:rsidP="00AF7D06">
      <w:pPr>
        <w:rPr>
          <w:rFonts w:ascii="Arial" w:hAnsi="Arial" w:cs="Arial"/>
          <w:sz w:val="24"/>
          <w:szCs w:val="24"/>
          <w:shd w:val="clear" w:color="auto" w:fill="FFFFFF"/>
        </w:rPr>
      </w:pPr>
    </w:p>
    <w:p w14:paraId="057CE799" w14:textId="7981BB02" w:rsidR="009464C7" w:rsidRPr="008A40F0" w:rsidRDefault="008A40F0" w:rsidP="00112C2B">
      <w:pPr>
        <w:pStyle w:val="Ttulo1"/>
        <w:spacing w:before="0" w:line="360" w:lineRule="auto"/>
      </w:pPr>
      <w:r w:rsidRPr="005B684F">
        <w:rPr>
          <w:rFonts w:ascii="Arial" w:hAnsi="Arial" w:cs="Arial"/>
          <w:b/>
          <w:bCs/>
          <w:color w:val="auto"/>
          <w:sz w:val="24"/>
          <w:szCs w:val="24"/>
          <w:shd w:val="clear" w:color="auto" w:fill="FFFFFF"/>
        </w:rPr>
        <w:lastRenderedPageBreak/>
        <w:t>DIAGRAMA DE FLUJO</w:t>
      </w:r>
      <w:r w:rsidR="00112C2B" w:rsidRPr="00112C2B">
        <w:rPr>
          <w:noProof/>
        </w:rPr>
        <w:drawing>
          <wp:inline distT="0" distB="0" distL="0" distR="0" wp14:anchorId="4FE8411C" wp14:editId="736AAA8E">
            <wp:extent cx="8257540" cy="4620916"/>
            <wp:effectExtent l="0" t="0" r="0" b="8255"/>
            <wp:docPr id="547179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17984" name=""/>
                    <pic:cNvPicPr/>
                  </pic:nvPicPr>
                  <pic:blipFill>
                    <a:blip r:embed="rId11"/>
                    <a:stretch>
                      <a:fillRect/>
                    </a:stretch>
                  </pic:blipFill>
                  <pic:spPr>
                    <a:xfrm>
                      <a:off x="0" y="0"/>
                      <a:ext cx="8268348" cy="4626964"/>
                    </a:xfrm>
                    <a:prstGeom prst="rect">
                      <a:avLst/>
                    </a:prstGeom>
                  </pic:spPr>
                </pic:pic>
              </a:graphicData>
            </a:graphic>
          </wp:inline>
        </w:drawing>
      </w:r>
    </w:p>
    <w:p w14:paraId="77CEF722" w14:textId="77777777" w:rsidR="00781A83" w:rsidRDefault="00781A83" w:rsidP="00F23750">
      <w:pPr>
        <w:pStyle w:val="Ttulo1"/>
        <w:spacing w:before="0" w:line="360" w:lineRule="auto"/>
        <w:rPr>
          <w:rFonts w:ascii="Arial" w:hAnsi="Arial" w:cs="Arial"/>
          <w:b/>
          <w:bCs/>
          <w:color w:val="auto"/>
          <w:sz w:val="24"/>
          <w:szCs w:val="24"/>
          <w:shd w:val="clear" w:color="auto" w:fill="FFFFFF"/>
        </w:rPr>
      </w:pPr>
      <w:r w:rsidRPr="005B684F">
        <w:rPr>
          <w:rFonts w:ascii="Arial" w:hAnsi="Arial" w:cs="Arial"/>
          <w:b/>
          <w:bCs/>
          <w:color w:val="auto"/>
          <w:sz w:val="24"/>
          <w:szCs w:val="24"/>
          <w:shd w:val="clear" w:color="auto" w:fill="FFFFFF"/>
        </w:rPr>
        <w:lastRenderedPageBreak/>
        <w:t>DESARROLLO -DESCRIPCIÓN</w:t>
      </w:r>
    </w:p>
    <w:p w14:paraId="523181A5" w14:textId="77777777" w:rsidR="006E6CF6" w:rsidRPr="006E6CF6" w:rsidRDefault="006E6CF6" w:rsidP="006E6CF6"/>
    <w:tbl>
      <w:tblPr>
        <w:tblStyle w:val="Tablaconcuadrcula"/>
        <w:tblpPr w:leftFromText="141" w:rightFromText="141" w:vertAnchor="text" w:tblpY="1"/>
        <w:tblOverlap w:val="never"/>
        <w:tblW w:w="5000" w:type="pct"/>
        <w:tblCellMar>
          <w:left w:w="28" w:type="dxa"/>
          <w:right w:w="28" w:type="dxa"/>
        </w:tblCellMar>
        <w:tblLook w:val="04A0" w:firstRow="1" w:lastRow="0" w:firstColumn="1" w:lastColumn="0" w:noHBand="0" w:noVBand="1"/>
      </w:tblPr>
      <w:tblGrid>
        <w:gridCol w:w="276"/>
        <w:gridCol w:w="4964"/>
        <w:gridCol w:w="2836"/>
        <w:gridCol w:w="3218"/>
        <w:gridCol w:w="1702"/>
      </w:tblGrid>
      <w:tr w:rsidR="00291177" w:rsidRPr="002C0D9D" w14:paraId="65BF2E3A" w14:textId="77777777" w:rsidTr="001203B3">
        <w:trPr>
          <w:trHeight w:val="347"/>
          <w:tblHeader/>
        </w:trPr>
        <w:tc>
          <w:tcPr>
            <w:tcW w:w="106" w:type="pct"/>
            <w:shd w:val="clear" w:color="auto" w:fill="33CCCC"/>
          </w:tcPr>
          <w:p w14:paraId="3D0AA1CF" w14:textId="22033890" w:rsidR="00291177" w:rsidRPr="002C0D9D" w:rsidRDefault="00291177" w:rsidP="001203B3">
            <w:pPr>
              <w:rPr>
                <w:rFonts w:ascii="Arial" w:hAnsi="Arial" w:cs="Arial"/>
                <w:b/>
                <w:bCs/>
              </w:rPr>
            </w:pPr>
            <w:r w:rsidRPr="002C0D9D">
              <w:rPr>
                <w:rFonts w:ascii="Arial" w:hAnsi="Arial" w:cs="Arial"/>
                <w:b/>
                <w:bCs/>
              </w:rPr>
              <w:t>N.</w:t>
            </w:r>
          </w:p>
        </w:tc>
        <w:tc>
          <w:tcPr>
            <w:tcW w:w="1910" w:type="pct"/>
            <w:shd w:val="clear" w:color="auto" w:fill="33CCCC"/>
            <w:vAlign w:val="center"/>
          </w:tcPr>
          <w:p w14:paraId="3753FD9A" w14:textId="500DD0A8" w:rsidR="00291177" w:rsidRPr="002C0D9D" w:rsidRDefault="00291177" w:rsidP="001203B3">
            <w:pPr>
              <w:rPr>
                <w:rFonts w:ascii="Arial" w:hAnsi="Arial" w:cs="Arial"/>
                <w:b/>
                <w:bCs/>
              </w:rPr>
            </w:pPr>
            <w:r w:rsidRPr="002C0D9D">
              <w:rPr>
                <w:rFonts w:ascii="Arial" w:hAnsi="Arial" w:cs="Arial"/>
                <w:b/>
                <w:bCs/>
              </w:rPr>
              <w:t>Actividad</w:t>
            </w:r>
          </w:p>
        </w:tc>
        <w:tc>
          <w:tcPr>
            <w:tcW w:w="1091" w:type="pct"/>
            <w:shd w:val="clear" w:color="auto" w:fill="33CCCC"/>
            <w:vAlign w:val="center"/>
          </w:tcPr>
          <w:p w14:paraId="2C34BC69" w14:textId="5D936930" w:rsidR="00291177" w:rsidRPr="002C0D9D" w:rsidRDefault="00291177" w:rsidP="001203B3">
            <w:pPr>
              <w:rPr>
                <w:rFonts w:ascii="Arial" w:hAnsi="Arial" w:cs="Arial"/>
                <w:b/>
                <w:bCs/>
              </w:rPr>
            </w:pPr>
            <w:r w:rsidRPr="002C0D9D">
              <w:rPr>
                <w:rFonts w:ascii="Arial" w:hAnsi="Arial" w:cs="Arial"/>
                <w:b/>
                <w:bCs/>
              </w:rPr>
              <w:t>Responsable</w:t>
            </w:r>
          </w:p>
        </w:tc>
        <w:tc>
          <w:tcPr>
            <w:tcW w:w="1238" w:type="pct"/>
            <w:shd w:val="clear" w:color="auto" w:fill="33CCCC"/>
            <w:vAlign w:val="center"/>
          </w:tcPr>
          <w:p w14:paraId="7E2CDC36" w14:textId="03BF0236" w:rsidR="00291177" w:rsidRPr="002C0D9D" w:rsidRDefault="00291177" w:rsidP="001203B3">
            <w:pPr>
              <w:rPr>
                <w:rFonts w:ascii="Arial" w:hAnsi="Arial" w:cs="Arial"/>
                <w:b/>
                <w:bCs/>
              </w:rPr>
            </w:pPr>
            <w:r w:rsidRPr="002C0D9D">
              <w:rPr>
                <w:rFonts w:ascii="Arial" w:hAnsi="Arial" w:cs="Arial"/>
                <w:b/>
                <w:bCs/>
              </w:rPr>
              <w:t>Tiempo o frecuencia si aplica</w:t>
            </w:r>
          </w:p>
        </w:tc>
        <w:tc>
          <w:tcPr>
            <w:tcW w:w="655" w:type="pct"/>
            <w:shd w:val="clear" w:color="auto" w:fill="33CCCC"/>
            <w:vAlign w:val="center"/>
          </w:tcPr>
          <w:p w14:paraId="2A425660" w14:textId="5E205602" w:rsidR="00291177" w:rsidRPr="002C0D9D" w:rsidRDefault="00291177" w:rsidP="001203B3">
            <w:pPr>
              <w:rPr>
                <w:rFonts w:ascii="Arial" w:hAnsi="Arial" w:cs="Arial"/>
                <w:b/>
                <w:bCs/>
              </w:rPr>
            </w:pPr>
            <w:r w:rsidRPr="002C0D9D">
              <w:rPr>
                <w:rFonts w:ascii="Arial" w:hAnsi="Arial" w:cs="Arial"/>
                <w:b/>
                <w:bCs/>
              </w:rPr>
              <w:t>Registro</w:t>
            </w:r>
          </w:p>
        </w:tc>
      </w:tr>
      <w:tr w:rsidR="00291177" w:rsidRPr="002C0D9D" w14:paraId="4F50CD79" w14:textId="77777777" w:rsidTr="001203B3">
        <w:tc>
          <w:tcPr>
            <w:tcW w:w="106" w:type="pct"/>
          </w:tcPr>
          <w:p w14:paraId="33C807A1" w14:textId="5766D3A0" w:rsidR="00291177" w:rsidRPr="002C0D9D" w:rsidRDefault="00291177" w:rsidP="001203B3">
            <w:pPr>
              <w:rPr>
                <w:rFonts w:ascii="Arial" w:hAnsi="Arial" w:cs="Arial"/>
                <w:b/>
                <w:bCs/>
                <w:shd w:val="clear" w:color="auto" w:fill="FFFFFF"/>
              </w:rPr>
            </w:pPr>
            <w:r>
              <w:rPr>
                <w:rFonts w:ascii="Arial" w:hAnsi="Arial" w:cs="Arial"/>
                <w:b/>
                <w:bCs/>
                <w:shd w:val="clear" w:color="auto" w:fill="FFFFFF"/>
              </w:rPr>
              <w:t>1.</w:t>
            </w:r>
          </w:p>
        </w:tc>
        <w:tc>
          <w:tcPr>
            <w:tcW w:w="1910" w:type="pct"/>
          </w:tcPr>
          <w:p w14:paraId="048FBCC1" w14:textId="7C93238E" w:rsidR="00291177" w:rsidRDefault="00291177" w:rsidP="001203B3">
            <w:pPr>
              <w:rPr>
                <w:rFonts w:ascii="Arial" w:hAnsi="Arial" w:cs="Arial"/>
                <w:b/>
                <w:bCs/>
                <w:shd w:val="clear" w:color="auto" w:fill="FFFFFF"/>
              </w:rPr>
            </w:pPr>
            <w:r w:rsidRPr="002C0D9D">
              <w:rPr>
                <w:rFonts w:ascii="Arial" w:hAnsi="Arial" w:cs="Arial"/>
                <w:b/>
                <w:bCs/>
                <w:shd w:val="clear" w:color="auto" w:fill="FFFFFF"/>
              </w:rPr>
              <w:t>Recepcionar, registrar y asignar notificación de la providencia o solicitud de pago</w:t>
            </w:r>
          </w:p>
          <w:p w14:paraId="50EFF7DF" w14:textId="77777777" w:rsidR="00291177" w:rsidRPr="002C0D9D" w:rsidRDefault="00291177" w:rsidP="001203B3">
            <w:pPr>
              <w:rPr>
                <w:rFonts w:ascii="Arial" w:hAnsi="Arial" w:cs="Arial"/>
                <w:b/>
                <w:bCs/>
                <w:shd w:val="clear" w:color="auto" w:fill="FFFFFF"/>
              </w:rPr>
            </w:pPr>
          </w:p>
          <w:p w14:paraId="55523878" w14:textId="4C384FCD" w:rsidR="009658A3" w:rsidRDefault="00291177" w:rsidP="001203B3">
            <w:pPr>
              <w:rPr>
                <w:rFonts w:ascii="Arial" w:hAnsi="Arial" w:cs="Arial"/>
                <w:shd w:val="clear" w:color="auto" w:fill="FFFFFF"/>
              </w:rPr>
            </w:pPr>
            <w:r w:rsidRPr="002C0D9D">
              <w:rPr>
                <w:rFonts w:ascii="Arial" w:hAnsi="Arial" w:cs="Arial"/>
                <w:shd w:val="clear" w:color="auto" w:fill="FFFFFF"/>
              </w:rPr>
              <w:t xml:space="preserve">El profesional responsable del correo de </w:t>
            </w:r>
            <w:hyperlink r:id="rId12" w:history="1">
              <w:r w:rsidRPr="002C0D9D">
                <w:rPr>
                  <w:rStyle w:val="Hipervnculo"/>
                  <w:rFonts w:ascii="Arial" w:hAnsi="Arial" w:cs="Arial"/>
                  <w:shd w:val="clear" w:color="auto" w:fill="FFFFFF"/>
                </w:rPr>
                <w:t>snsnotificacionesjudiciales@supersalud.gov.co</w:t>
              </w:r>
            </w:hyperlink>
            <w:r w:rsidRPr="002C0D9D">
              <w:rPr>
                <w:rFonts w:ascii="Arial" w:hAnsi="Arial" w:cs="Arial"/>
                <w:shd w:val="clear" w:color="auto" w:fill="FFFFFF"/>
              </w:rPr>
              <w:t xml:space="preserve">, </w:t>
            </w:r>
          </w:p>
          <w:p w14:paraId="5DE47554" w14:textId="7826A5D4" w:rsidR="00291177" w:rsidRPr="00060A50" w:rsidRDefault="00291177" w:rsidP="001203B3">
            <w:pPr>
              <w:rPr>
                <w:rFonts w:ascii="Arial" w:hAnsi="Arial" w:cs="Arial"/>
              </w:rPr>
            </w:pPr>
            <w:r w:rsidRPr="002C0D9D">
              <w:rPr>
                <w:rFonts w:ascii="Arial" w:hAnsi="Arial" w:cs="Arial"/>
                <w:shd w:val="clear" w:color="auto" w:fill="FFFFFF"/>
              </w:rPr>
              <w:t xml:space="preserve">snstutelas3@supersalud.gov.co </w:t>
            </w:r>
            <w:hyperlink r:id="rId13" w:history="1">
              <w:r w:rsidRPr="002C0D9D">
                <w:rPr>
                  <w:rStyle w:val="Hipervnculo"/>
                  <w:rFonts w:ascii="Arial" w:hAnsi="Arial" w:cs="Arial"/>
                  <w:shd w:val="clear" w:color="auto" w:fill="FFFFFF"/>
                </w:rPr>
                <w:t>correointernosns@supersalud.gov.co</w:t>
              </w:r>
            </w:hyperlink>
            <w:r w:rsidRPr="002C0D9D">
              <w:rPr>
                <w:rFonts w:ascii="Arial" w:hAnsi="Arial" w:cs="Arial"/>
                <w:shd w:val="clear" w:color="auto" w:fill="FFFFFF"/>
              </w:rPr>
              <w:t xml:space="preserve"> o gestor documental de la subdirección de defensa jurídica recibe la notificación de la providencia judicial</w:t>
            </w:r>
            <w:r>
              <w:rPr>
                <w:rFonts w:ascii="Arial" w:hAnsi="Arial" w:cs="Arial"/>
                <w:shd w:val="clear" w:color="auto" w:fill="FFFFFF"/>
              </w:rPr>
              <w:t xml:space="preserve"> y</w:t>
            </w:r>
            <w:r w:rsidRPr="002C0D9D">
              <w:rPr>
                <w:rFonts w:ascii="Arial" w:hAnsi="Arial" w:cs="Arial"/>
                <w:shd w:val="clear" w:color="auto" w:fill="FFFFFF"/>
              </w:rPr>
              <w:t xml:space="preserve"> </w:t>
            </w:r>
            <w:r>
              <w:rPr>
                <w:rFonts w:ascii="Arial" w:hAnsi="Arial" w:cs="Arial"/>
                <w:shd w:val="clear" w:color="auto" w:fill="FFFFFF"/>
              </w:rPr>
              <w:t xml:space="preserve">registra </w:t>
            </w:r>
            <w:r w:rsidRPr="002C0D9D">
              <w:rPr>
                <w:rFonts w:ascii="Arial" w:hAnsi="Arial" w:cs="Arial"/>
                <w:shd w:val="clear" w:color="auto" w:fill="FFFFFF"/>
              </w:rPr>
              <w:t>la información en la base de datos de procesos judiciales</w:t>
            </w:r>
            <w:r>
              <w:rPr>
                <w:rFonts w:ascii="Arial" w:hAnsi="Arial" w:cs="Arial"/>
                <w:shd w:val="clear" w:color="auto" w:fill="FFFFFF"/>
              </w:rPr>
              <w:t xml:space="preserve">.   </w:t>
            </w:r>
            <w:r w:rsidRPr="00E72CE2">
              <w:rPr>
                <w:rFonts w:ascii="Arial" w:hAnsi="Arial" w:cs="Arial"/>
                <w:color w:val="000000" w:themeColor="text1"/>
              </w:rPr>
              <w:t xml:space="preserve">Una vez radicada, realiza </w:t>
            </w:r>
            <w:r>
              <w:rPr>
                <w:rFonts w:ascii="Arial" w:hAnsi="Arial" w:cs="Arial"/>
                <w:color w:val="000000" w:themeColor="text1"/>
              </w:rPr>
              <w:t>la asignación</w:t>
            </w:r>
            <w:r w:rsidRPr="00E72CE2">
              <w:rPr>
                <w:rFonts w:ascii="Arial" w:hAnsi="Arial" w:cs="Arial"/>
                <w:color w:val="000000" w:themeColor="text1"/>
              </w:rPr>
              <w:t xml:space="preserve"> </w:t>
            </w:r>
            <w:r w:rsidRPr="00EE5582">
              <w:rPr>
                <w:rFonts w:ascii="Arial" w:hAnsi="Arial" w:cs="Arial"/>
              </w:rPr>
              <w:t xml:space="preserve">al </w:t>
            </w:r>
            <w:r>
              <w:rPr>
                <w:rFonts w:ascii="Arial" w:hAnsi="Arial" w:cs="Arial"/>
              </w:rPr>
              <w:t>profesional del grupo de defensa judicial mediante</w:t>
            </w:r>
            <w:r w:rsidRPr="00EE5582">
              <w:rPr>
                <w:rFonts w:ascii="Arial" w:hAnsi="Arial" w:cs="Arial"/>
              </w:rPr>
              <w:t xml:space="preserve"> el </w:t>
            </w:r>
            <w:r>
              <w:rPr>
                <w:rFonts w:ascii="Arial" w:hAnsi="Arial" w:cs="Arial"/>
              </w:rPr>
              <w:t>g</w:t>
            </w:r>
            <w:r w:rsidRPr="00EE5582">
              <w:rPr>
                <w:rFonts w:ascii="Arial" w:hAnsi="Arial" w:cs="Arial"/>
              </w:rPr>
              <w:t>estor documental</w:t>
            </w:r>
            <w:r>
              <w:rPr>
                <w:rFonts w:ascii="Arial" w:hAnsi="Arial" w:cs="Arial"/>
              </w:rPr>
              <w:t xml:space="preserve"> de la entidad o </w:t>
            </w:r>
            <w:r w:rsidRPr="002C0D9D">
              <w:rPr>
                <w:rFonts w:ascii="Arial" w:hAnsi="Arial" w:cs="Arial"/>
                <w:shd w:val="clear" w:color="auto" w:fill="FFFFFF"/>
              </w:rPr>
              <w:t>mediante correo electrónico con copia al coordinador(a)</w:t>
            </w:r>
            <w:r w:rsidR="000F6E04">
              <w:rPr>
                <w:rFonts w:ascii="Arial" w:hAnsi="Arial" w:cs="Arial"/>
                <w:shd w:val="clear" w:color="auto" w:fill="FFFFFF"/>
              </w:rPr>
              <w:t xml:space="preserve">  </w:t>
            </w:r>
            <w:r w:rsidRPr="002C0D9D">
              <w:rPr>
                <w:rFonts w:ascii="Arial" w:hAnsi="Arial" w:cs="Arial"/>
                <w:shd w:val="clear" w:color="auto" w:fill="FFFFFF"/>
              </w:rPr>
              <w:t>conforme a los parámetros establecidos por la subdirección de defensa jurídica y la coordinación del grupo defensa</w:t>
            </w:r>
            <w:r>
              <w:rPr>
                <w:rFonts w:ascii="Arial" w:hAnsi="Arial" w:cs="Arial"/>
                <w:shd w:val="clear" w:color="auto" w:fill="FFFFFF"/>
              </w:rPr>
              <w:t xml:space="preserve"> judicial.</w:t>
            </w:r>
          </w:p>
          <w:p w14:paraId="0F281030" w14:textId="77777777" w:rsidR="00291177" w:rsidRPr="002C0D9D" w:rsidRDefault="00291177" w:rsidP="001203B3">
            <w:pPr>
              <w:rPr>
                <w:rFonts w:ascii="Arial" w:hAnsi="Arial" w:cs="Arial"/>
                <w:shd w:val="clear" w:color="auto" w:fill="FFFFFF"/>
              </w:rPr>
            </w:pPr>
          </w:p>
          <w:p w14:paraId="74297686" w14:textId="2CA30D96" w:rsidR="00291177" w:rsidRPr="007B1514" w:rsidRDefault="00291177" w:rsidP="001203B3">
            <w:pPr>
              <w:rPr>
                <w:rFonts w:ascii="Arial" w:hAnsi="Arial" w:cs="Arial"/>
                <w:b/>
                <w:bCs/>
                <w:shd w:val="clear" w:color="auto" w:fill="FFFFFF"/>
              </w:rPr>
            </w:pPr>
            <w:r w:rsidRPr="007B1514">
              <w:rPr>
                <w:rFonts w:ascii="Arial" w:hAnsi="Arial" w:cs="Arial"/>
                <w:b/>
                <w:bCs/>
                <w:shd w:val="clear" w:color="auto" w:fill="FFFFFF"/>
              </w:rPr>
              <w:t>Continúa en la actividad 2</w:t>
            </w:r>
          </w:p>
          <w:p w14:paraId="372A78A1" w14:textId="77777777" w:rsidR="00291177" w:rsidRPr="002C0D9D" w:rsidRDefault="00291177" w:rsidP="001203B3">
            <w:pPr>
              <w:rPr>
                <w:rFonts w:ascii="Arial" w:hAnsi="Arial" w:cs="Arial"/>
                <w:shd w:val="clear" w:color="auto" w:fill="FFFFFF"/>
              </w:rPr>
            </w:pPr>
          </w:p>
          <w:p w14:paraId="7AE02648" w14:textId="22B92C7A" w:rsidR="00291177" w:rsidRDefault="00291177" w:rsidP="001203B3">
            <w:pPr>
              <w:rPr>
                <w:rFonts w:ascii="Arial" w:hAnsi="Arial" w:cs="Arial"/>
                <w:shd w:val="clear" w:color="auto" w:fill="FFFFFF"/>
              </w:rPr>
            </w:pPr>
            <w:r w:rsidRPr="002C0D9D">
              <w:rPr>
                <w:rFonts w:ascii="Arial" w:hAnsi="Arial" w:cs="Arial"/>
                <w:shd w:val="clear" w:color="auto" w:fill="FFFFFF"/>
              </w:rPr>
              <w:t xml:space="preserve">Cuando se reciba la solicitud de pago de la providencia judicial </w:t>
            </w:r>
            <w:r>
              <w:rPr>
                <w:rFonts w:ascii="Arial" w:hAnsi="Arial" w:cs="Arial"/>
                <w:shd w:val="clear" w:color="auto" w:fill="FFFFFF"/>
              </w:rPr>
              <w:t>e</w:t>
            </w:r>
            <w:r w:rsidRPr="002C0D9D">
              <w:rPr>
                <w:rFonts w:ascii="Arial" w:hAnsi="Arial" w:cs="Arial"/>
                <w:shd w:val="clear" w:color="auto" w:fill="FFFFFF"/>
              </w:rPr>
              <w:t xml:space="preserve">l profesional responsable del correo de </w:t>
            </w:r>
            <w:hyperlink r:id="rId14" w:history="1">
              <w:r w:rsidRPr="002C0D9D">
                <w:rPr>
                  <w:rStyle w:val="Hipervnculo"/>
                  <w:rFonts w:ascii="Arial" w:hAnsi="Arial" w:cs="Arial"/>
                  <w:shd w:val="clear" w:color="auto" w:fill="FFFFFF"/>
                </w:rPr>
                <w:t>snsnotificacionesjudiciales@supersalud.gov.co</w:t>
              </w:r>
            </w:hyperlink>
            <w:r w:rsidRPr="002C0D9D">
              <w:rPr>
                <w:rFonts w:ascii="Arial" w:hAnsi="Arial" w:cs="Arial"/>
                <w:shd w:val="clear" w:color="auto" w:fill="FFFFFF"/>
              </w:rPr>
              <w:t xml:space="preserve">, </w:t>
            </w:r>
            <w:r w:rsidRPr="002C0D9D">
              <w:rPr>
                <w:rFonts w:ascii="Arial" w:hAnsi="Arial" w:cs="Arial"/>
                <w:shd w:val="clear" w:color="auto" w:fill="FFFFFF"/>
              </w:rPr>
              <w:lastRenderedPageBreak/>
              <w:t xml:space="preserve">snstutelas3@supersalud.gov.co </w:t>
            </w:r>
            <w:hyperlink r:id="rId15" w:history="1">
              <w:r w:rsidRPr="002C0D9D">
                <w:rPr>
                  <w:rStyle w:val="Hipervnculo"/>
                  <w:rFonts w:ascii="Arial" w:hAnsi="Arial" w:cs="Arial"/>
                  <w:shd w:val="clear" w:color="auto" w:fill="FFFFFF"/>
                </w:rPr>
                <w:t>correointernosns@supersalud.gov.co</w:t>
              </w:r>
            </w:hyperlink>
            <w:r w:rsidRPr="002C0D9D">
              <w:rPr>
                <w:rFonts w:ascii="Arial" w:hAnsi="Arial" w:cs="Arial"/>
                <w:shd w:val="clear" w:color="auto" w:fill="FFFFFF"/>
              </w:rPr>
              <w:t xml:space="preserve"> o gestor documental de la subdirección de defensa jurídica recibe la notificación de la solicitud</w:t>
            </w:r>
            <w:r>
              <w:rPr>
                <w:rFonts w:ascii="Arial" w:hAnsi="Arial" w:cs="Arial"/>
                <w:shd w:val="clear" w:color="auto" w:fill="FFFFFF"/>
              </w:rPr>
              <w:t xml:space="preserve"> de pago de la providencia judicial y </w:t>
            </w:r>
            <w:r w:rsidRPr="002C0D9D">
              <w:rPr>
                <w:rFonts w:ascii="Arial" w:hAnsi="Arial" w:cs="Arial"/>
                <w:shd w:val="clear" w:color="auto" w:fill="FFFFFF"/>
              </w:rPr>
              <w:t>actualiza la información en</w:t>
            </w:r>
            <w:r w:rsidR="00767B69">
              <w:rPr>
                <w:rFonts w:ascii="Arial" w:hAnsi="Arial" w:cs="Arial"/>
                <w:shd w:val="clear" w:color="auto" w:fill="FFFFFF"/>
              </w:rPr>
              <w:t xml:space="preserve"> el formato </w:t>
            </w:r>
            <w:r w:rsidRPr="002C0D9D">
              <w:rPr>
                <w:rFonts w:ascii="Arial" w:hAnsi="Arial" w:cs="Arial"/>
                <w:shd w:val="clear" w:color="auto" w:fill="FFFFFF"/>
              </w:rPr>
              <w:t xml:space="preserve">base de datos de procesos judiciales </w:t>
            </w:r>
          </w:p>
          <w:p w14:paraId="495F8369" w14:textId="77777777" w:rsidR="00291177" w:rsidRDefault="00291177" w:rsidP="001203B3">
            <w:pPr>
              <w:rPr>
                <w:rFonts w:ascii="Arial" w:hAnsi="Arial" w:cs="Arial"/>
                <w:shd w:val="clear" w:color="auto" w:fill="FFFFFF"/>
              </w:rPr>
            </w:pPr>
          </w:p>
          <w:p w14:paraId="66ABFFE8" w14:textId="642A5289" w:rsidR="00291177" w:rsidRPr="00060A50" w:rsidRDefault="00291177" w:rsidP="001203B3">
            <w:pPr>
              <w:rPr>
                <w:rFonts w:ascii="Arial" w:hAnsi="Arial" w:cs="Arial"/>
              </w:rPr>
            </w:pPr>
            <w:r w:rsidRPr="00E72CE2">
              <w:rPr>
                <w:rFonts w:ascii="Arial" w:hAnsi="Arial" w:cs="Arial"/>
                <w:color w:val="000000" w:themeColor="text1"/>
              </w:rPr>
              <w:t xml:space="preserve">Una vez radicada, </w:t>
            </w:r>
            <w:r>
              <w:rPr>
                <w:rFonts w:ascii="Arial" w:hAnsi="Arial" w:cs="Arial"/>
                <w:color w:val="000000" w:themeColor="text1"/>
              </w:rPr>
              <w:t>remite al</w:t>
            </w:r>
            <w:r w:rsidRPr="00EE5582">
              <w:rPr>
                <w:rFonts w:ascii="Arial" w:hAnsi="Arial" w:cs="Arial"/>
              </w:rPr>
              <w:t xml:space="preserve"> </w:t>
            </w:r>
            <w:r>
              <w:rPr>
                <w:rFonts w:ascii="Arial" w:hAnsi="Arial" w:cs="Arial"/>
              </w:rPr>
              <w:t>profesional asignado del grupo de defensa judicial mediante</w:t>
            </w:r>
            <w:r w:rsidRPr="00EE5582">
              <w:rPr>
                <w:rFonts w:ascii="Arial" w:hAnsi="Arial" w:cs="Arial"/>
              </w:rPr>
              <w:t xml:space="preserve"> el </w:t>
            </w:r>
            <w:r>
              <w:rPr>
                <w:rFonts w:ascii="Arial" w:hAnsi="Arial" w:cs="Arial"/>
              </w:rPr>
              <w:t>g</w:t>
            </w:r>
            <w:r w:rsidRPr="00EE5582">
              <w:rPr>
                <w:rFonts w:ascii="Arial" w:hAnsi="Arial" w:cs="Arial"/>
              </w:rPr>
              <w:t>estor documental</w:t>
            </w:r>
            <w:r>
              <w:rPr>
                <w:rFonts w:ascii="Arial" w:hAnsi="Arial" w:cs="Arial"/>
              </w:rPr>
              <w:t xml:space="preserve"> de la entidad o </w:t>
            </w:r>
            <w:r w:rsidRPr="002C0D9D">
              <w:rPr>
                <w:rFonts w:ascii="Arial" w:hAnsi="Arial" w:cs="Arial"/>
                <w:shd w:val="clear" w:color="auto" w:fill="FFFFFF"/>
              </w:rPr>
              <w:t>mediante correo electrónico con copia al coordinador(a)</w:t>
            </w:r>
            <w:r>
              <w:rPr>
                <w:rFonts w:ascii="Arial" w:hAnsi="Arial" w:cs="Arial"/>
                <w:shd w:val="clear" w:color="auto" w:fill="FFFFFF"/>
              </w:rPr>
              <w:t xml:space="preserve"> y conforme</w:t>
            </w:r>
            <w:r w:rsidRPr="002C0D9D">
              <w:rPr>
                <w:rFonts w:ascii="Arial" w:hAnsi="Arial" w:cs="Arial"/>
                <w:shd w:val="clear" w:color="auto" w:fill="FFFFFF"/>
              </w:rPr>
              <w:t xml:space="preserve"> a los parámetros establecidos por la subdirección de defensa jurídica y la coordinación del grupo defensa</w:t>
            </w:r>
            <w:r>
              <w:rPr>
                <w:rFonts w:ascii="Arial" w:hAnsi="Arial" w:cs="Arial"/>
                <w:shd w:val="clear" w:color="auto" w:fill="FFFFFF"/>
              </w:rPr>
              <w:t xml:space="preserve"> judicial.</w:t>
            </w:r>
          </w:p>
          <w:p w14:paraId="5112F4D5" w14:textId="77777777" w:rsidR="00291177" w:rsidRPr="002C0D9D" w:rsidRDefault="00291177" w:rsidP="001203B3">
            <w:pPr>
              <w:rPr>
                <w:rFonts w:ascii="Arial" w:hAnsi="Arial" w:cs="Arial"/>
                <w:shd w:val="clear" w:color="auto" w:fill="FFFFFF"/>
              </w:rPr>
            </w:pPr>
          </w:p>
          <w:p w14:paraId="21F4FA06" w14:textId="08640365" w:rsidR="00291177" w:rsidRPr="007B1514" w:rsidRDefault="00291177" w:rsidP="001203B3">
            <w:pPr>
              <w:rPr>
                <w:rFonts w:ascii="Arial" w:hAnsi="Arial" w:cs="Arial"/>
                <w:b/>
                <w:bCs/>
                <w:shd w:val="clear" w:color="auto" w:fill="FFFFFF"/>
              </w:rPr>
            </w:pPr>
            <w:r w:rsidRPr="007B1514">
              <w:rPr>
                <w:rFonts w:ascii="Arial" w:hAnsi="Arial" w:cs="Arial"/>
                <w:b/>
                <w:bCs/>
                <w:shd w:val="clear" w:color="auto" w:fill="FFFFFF"/>
              </w:rPr>
              <w:t>Continua en la actividad 4</w:t>
            </w:r>
          </w:p>
          <w:p w14:paraId="511D34BE" w14:textId="083B8802" w:rsidR="00291177" w:rsidRPr="002C0D9D" w:rsidRDefault="00291177" w:rsidP="001203B3">
            <w:pPr>
              <w:rPr>
                <w:rFonts w:ascii="Arial" w:hAnsi="Arial" w:cs="Arial"/>
                <w:shd w:val="clear" w:color="auto" w:fill="FFFFFF"/>
              </w:rPr>
            </w:pPr>
          </w:p>
        </w:tc>
        <w:tc>
          <w:tcPr>
            <w:tcW w:w="1091" w:type="pct"/>
          </w:tcPr>
          <w:p w14:paraId="6201E6EF" w14:textId="77777777" w:rsidR="00291177" w:rsidRPr="002C0D9D" w:rsidRDefault="00291177" w:rsidP="001203B3">
            <w:pPr>
              <w:rPr>
                <w:rFonts w:ascii="Arial" w:hAnsi="Arial" w:cs="Arial"/>
                <w:shd w:val="clear" w:color="auto" w:fill="FFFFFF"/>
              </w:rPr>
            </w:pPr>
          </w:p>
          <w:p w14:paraId="2AF0F132" w14:textId="77777777" w:rsidR="00291177" w:rsidRPr="002C0D9D" w:rsidRDefault="00291177" w:rsidP="001203B3">
            <w:pPr>
              <w:rPr>
                <w:rFonts w:ascii="Arial" w:hAnsi="Arial" w:cs="Arial"/>
                <w:shd w:val="clear" w:color="auto" w:fill="FFFFFF"/>
              </w:rPr>
            </w:pPr>
          </w:p>
          <w:p w14:paraId="5F6670C8" w14:textId="77777777" w:rsidR="00291177" w:rsidRPr="002C0D9D" w:rsidRDefault="00291177" w:rsidP="001203B3">
            <w:pPr>
              <w:rPr>
                <w:rFonts w:ascii="Arial" w:hAnsi="Arial" w:cs="Arial"/>
                <w:shd w:val="clear" w:color="auto" w:fill="FFFFFF"/>
              </w:rPr>
            </w:pPr>
          </w:p>
          <w:p w14:paraId="5B58140F" w14:textId="0375F5E1" w:rsidR="00291177" w:rsidRPr="002C0D9D" w:rsidRDefault="00291177" w:rsidP="001203B3">
            <w:pPr>
              <w:rPr>
                <w:rFonts w:ascii="Arial" w:hAnsi="Arial" w:cs="Arial"/>
                <w:shd w:val="clear" w:color="auto" w:fill="FFFFFF"/>
              </w:rPr>
            </w:pPr>
            <w:r w:rsidRPr="002C0D9D">
              <w:rPr>
                <w:rFonts w:ascii="Arial" w:hAnsi="Arial" w:cs="Arial"/>
                <w:shd w:val="clear" w:color="auto" w:fill="FFFFFF"/>
              </w:rPr>
              <w:t>Profesional responsable del correo de la subdirección de defensa jurídica.</w:t>
            </w:r>
          </w:p>
          <w:p w14:paraId="5A019CDC" w14:textId="77777777" w:rsidR="00291177" w:rsidRPr="002C0D9D" w:rsidRDefault="00291177" w:rsidP="001203B3">
            <w:pPr>
              <w:rPr>
                <w:rFonts w:ascii="Arial" w:hAnsi="Arial" w:cs="Arial"/>
                <w:shd w:val="clear" w:color="auto" w:fill="FFFFFF"/>
              </w:rPr>
            </w:pPr>
          </w:p>
          <w:p w14:paraId="687D4B64" w14:textId="6A615569" w:rsidR="00291177" w:rsidRPr="002C0D9D" w:rsidRDefault="00291177" w:rsidP="001203B3">
            <w:pPr>
              <w:rPr>
                <w:rFonts w:ascii="Arial" w:hAnsi="Arial" w:cs="Arial"/>
                <w:shd w:val="clear" w:color="auto" w:fill="FFFFFF"/>
              </w:rPr>
            </w:pPr>
            <w:r w:rsidRPr="002C0D9D">
              <w:rPr>
                <w:rFonts w:ascii="Arial" w:hAnsi="Arial" w:cs="Arial"/>
                <w:shd w:val="clear" w:color="auto" w:fill="FFFFFF"/>
              </w:rPr>
              <w:t>Profesional asignado del grupo de defensa judicial.</w:t>
            </w:r>
          </w:p>
        </w:tc>
        <w:tc>
          <w:tcPr>
            <w:tcW w:w="1238" w:type="pct"/>
          </w:tcPr>
          <w:p w14:paraId="5DB53361" w14:textId="77777777" w:rsidR="00291177" w:rsidRPr="002C0D9D" w:rsidRDefault="00291177" w:rsidP="001203B3">
            <w:pPr>
              <w:rPr>
                <w:rFonts w:ascii="Arial" w:hAnsi="Arial" w:cs="Arial"/>
                <w:shd w:val="clear" w:color="auto" w:fill="FFFFFF"/>
              </w:rPr>
            </w:pPr>
          </w:p>
          <w:p w14:paraId="6EFF2C23" w14:textId="77777777" w:rsidR="00291177" w:rsidRPr="002C0D9D" w:rsidRDefault="00291177" w:rsidP="001203B3">
            <w:pPr>
              <w:rPr>
                <w:rFonts w:ascii="Arial" w:hAnsi="Arial" w:cs="Arial"/>
                <w:shd w:val="clear" w:color="auto" w:fill="FFFFFF"/>
              </w:rPr>
            </w:pPr>
          </w:p>
          <w:p w14:paraId="71F45A63" w14:textId="77777777" w:rsidR="00291177" w:rsidRPr="002C0D9D" w:rsidRDefault="00291177" w:rsidP="001203B3">
            <w:pPr>
              <w:rPr>
                <w:rFonts w:ascii="Arial" w:hAnsi="Arial" w:cs="Arial"/>
                <w:shd w:val="clear" w:color="auto" w:fill="FFFFFF"/>
              </w:rPr>
            </w:pPr>
          </w:p>
          <w:p w14:paraId="29C22A86" w14:textId="506D0796" w:rsidR="00291177" w:rsidRPr="002C0D9D" w:rsidRDefault="00291177" w:rsidP="001203B3">
            <w:pPr>
              <w:rPr>
                <w:rFonts w:ascii="Arial" w:hAnsi="Arial" w:cs="Arial"/>
                <w:shd w:val="clear" w:color="auto" w:fill="FFFFFF"/>
              </w:rPr>
            </w:pPr>
            <w:r w:rsidRPr="002C0D9D">
              <w:rPr>
                <w:rFonts w:ascii="Arial" w:hAnsi="Arial" w:cs="Arial"/>
                <w:shd w:val="clear" w:color="auto" w:fill="FFFFFF"/>
              </w:rPr>
              <w:t>Inmediato</w:t>
            </w:r>
          </w:p>
        </w:tc>
        <w:tc>
          <w:tcPr>
            <w:tcW w:w="655" w:type="pct"/>
          </w:tcPr>
          <w:p w14:paraId="027B6AE6" w14:textId="77777777" w:rsidR="00291177" w:rsidRPr="002C0D9D" w:rsidRDefault="00291177" w:rsidP="001203B3">
            <w:pPr>
              <w:rPr>
                <w:rFonts w:ascii="Arial" w:hAnsi="Arial" w:cs="Arial"/>
                <w:shd w:val="clear" w:color="auto" w:fill="FFFFFF"/>
              </w:rPr>
            </w:pPr>
          </w:p>
          <w:p w14:paraId="23502B59" w14:textId="77777777" w:rsidR="00291177" w:rsidRPr="002C0D9D" w:rsidRDefault="00291177" w:rsidP="001203B3">
            <w:pPr>
              <w:rPr>
                <w:rFonts w:ascii="Arial" w:hAnsi="Arial" w:cs="Arial"/>
                <w:shd w:val="clear" w:color="auto" w:fill="FFFFFF"/>
              </w:rPr>
            </w:pPr>
          </w:p>
          <w:p w14:paraId="3B2FA988" w14:textId="77777777" w:rsidR="00332A02" w:rsidRDefault="00332A02" w:rsidP="001203B3">
            <w:pPr>
              <w:rPr>
                <w:rFonts w:ascii="Arial" w:hAnsi="Arial" w:cs="Arial"/>
                <w:shd w:val="clear" w:color="auto" w:fill="FFFFFF"/>
              </w:rPr>
            </w:pPr>
          </w:p>
          <w:p w14:paraId="6B27A8C2" w14:textId="4E9EDE35" w:rsidR="00291177" w:rsidRPr="002C0D9D" w:rsidRDefault="00291177" w:rsidP="001203B3">
            <w:pPr>
              <w:rPr>
                <w:rFonts w:ascii="Arial" w:hAnsi="Arial" w:cs="Arial"/>
                <w:shd w:val="clear" w:color="auto" w:fill="FFFFFF"/>
              </w:rPr>
            </w:pPr>
            <w:r w:rsidRPr="002C0D9D">
              <w:rPr>
                <w:rFonts w:ascii="Arial" w:hAnsi="Arial" w:cs="Arial"/>
                <w:shd w:val="clear" w:color="auto" w:fill="FFFFFF"/>
              </w:rPr>
              <w:t>Formato base de datos de procesos judiciales</w:t>
            </w:r>
          </w:p>
          <w:p w14:paraId="5AB52D1F" w14:textId="77777777" w:rsidR="00291177" w:rsidRPr="002C0D9D" w:rsidRDefault="00291177" w:rsidP="001203B3">
            <w:pPr>
              <w:rPr>
                <w:rFonts w:ascii="Arial" w:hAnsi="Arial" w:cs="Arial"/>
                <w:shd w:val="clear" w:color="auto" w:fill="FFFFFF"/>
              </w:rPr>
            </w:pPr>
          </w:p>
          <w:p w14:paraId="6253BB15" w14:textId="05C9F81C" w:rsidR="00291177" w:rsidRPr="002C0D9D" w:rsidRDefault="00291177" w:rsidP="001203B3">
            <w:pPr>
              <w:rPr>
                <w:rFonts w:ascii="Arial" w:hAnsi="Arial" w:cs="Arial"/>
                <w:shd w:val="clear" w:color="auto" w:fill="FFFFFF"/>
              </w:rPr>
            </w:pPr>
            <w:r w:rsidRPr="002C0D9D">
              <w:rPr>
                <w:rFonts w:ascii="Arial" w:hAnsi="Arial" w:cs="Arial"/>
                <w:shd w:val="clear" w:color="auto" w:fill="FFFFFF"/>
              </w:rPr>
              <w:t xml:space="preserve">Correos electrónicos </w:t>
            </w:r>
          </w:p>
          <w:p w14:paraId="7982B42A" w14:textId="77777777" w:rsidR="00291177" w:rsidRPr="002C0D9D" w:rsidRDefault="00291177" w:rsidP="001203B3">
            <w:pPr>
              <w:rPr>
                <w:rFonts w:ascii="Arial" w:hAnsi="Arial" w:cs="Arial"/>
                <w:shd w:val="clear" w:color="auto" w:fill="FFFFFF"/>
              </w:rPr>
            </w:pPr>
          </w:p>
          <w:p w14:paraId="0B43AB8B" w14:textId="77777777" w:rsidR="00291177" w:rsidRPr="002C0D9D" w:rsidRDefault="00291177" w:rsidP="001203B3">
            <w:pPr>
              <w:rPr>
                <w:rFonts w:ascii="Arial" w:hAnsi="Arial" w:cs="Arial"/>
                <w:shd w:val="clear" w:color="auto" w:fill="FFFFFF"/>
              </w:rPr>
            </w:pPr>
          </w:p>
          <w:p w14:paraId="516E9FC7" w14:textId="356F7AE4" w:rsidR="00291177" w:rsidRPr="002C0D9D" w:rsidRDefault="00291177" w:rsidP="001203B3">
            <w:pPr>
              <w:rPr>
                <w:rFonts w:ascii="Arial" w:hAnsi="Arial" w:cs="Arial"/>
                <w:shd w:val="clear" w:color="auto" w:fill="FFFFFF"/>
              </w:rPr>
            </w:pPr>
            <w:r w:rsidRPr="002C0D9D">
              <w:rPr>
                <w:rFonts w:ascii="Arial" w:hAnsi="Arial" w:cs="Arial"/>
                <w:shd w:val="clear" w:color="auto" w:fill="FFFFFF"/>
              </w:rPr>
              <w:t>Gestor documental</w:t>
            </w:r>
            <w:r w:rsidR="00332A02">
              <w:rPr>
                <w:rFonts w:ascii="Arial" w:hAnsi="Arial" w:cs="Arial"/>
                <w:shd w:val="clear" w:color="auto" w:fill="FFFFFF"/>
              </w:rPr>
              <w:t xml:space="preserve"> de la entidad</w:t>
            </w:r>
          </w:p>
          <w:p w14:paraId="0021CE99" w14:textId="61080058" w:rsidR="00291177" w:rsidRPr="002C0D9D" w:rsidRDefault="00291177" w:rsidP="001203B3">
            <w:pPr>
              <w:rPr>
                <w:rFonts w:ascii="Arial" w:hAnsi="Arial" w:cs="Arial"/>
                <w:shd w:val="clear" w:color="auto" w:fill="FFFFFF"/>
              </w:rPr>
            </w:pPr>
          </w:p>
        </w:tc>
      </w:tr>
      <w:tr w:rsidR="00291177" w:rsidRPr="002C0D9D" w14:paraId="2205E9D8" w14:textId="77777777" w:rsidTr="001203B3">
        <w:tc>
          <w:tcPr>
            <w:tcW w:w="106" w:type="pct"/>
          </w:tcPr>
          <w:p w14:paraId="1DCE2D5C" w14:textId="650E0B69" w:rsidR="00291177" w:rsidRPr="002C0D9D" w:rsidRDefault="00291177" w:rsidP="001203B3">
            <w:pPr>
              <w:rPr>
                <w:rFonts w:ascii="Arial" w:hAnsi="Arial" w:cs="Arial"/>
                <w:b/>
                <w:bCs/>
                <w:shd w:val="clear" w:color="auto" w:fill="FFFFFF"/>
              </w:rPr>
            </w:pPr>
            <w:r>
              <w:rPr>
                <w:rFonts w:ascii="Arial" w:hAnsi="Arial" w:cs="Arial"/>
                <w:b/>
                <w:bCs/>
                <w:shd w:val="clear" w:color="auto" w:fill="FFFFFF"/>
              </w:rPr>
              <w:t>2.</w:t>
            </w:r>
          </w:p>
        </w:tc>
        <w:tc>
          <w:tcPr>
            <w:tcW w:w="1910" w:type="pct"/>
          </w:tcPr>
          <w:p w14:paraId="11274319" w14:textId="0414675E" w:rsidR="00291177" w:rsidRPr="002C0D9D" w:rsidRDefault="00291177" w:rsidP="001203B3">
            <w:pPr>
              <w:rPr>
                <w:rFonts w:ascii="Arial" w:hAnsi="Arial" w:cs="Arial"/>
                <w:b/>
                <w:bCs/>
                <w:shd w:val="clear" w:color="auto" w:fill="FFFFFF"/>
              </w:rPr>
            </w:pPr>
            <w:r w:rsidRPr="002C0D9D">
              <w:rPr>
                <w:rFonts w:ascii="Arial" w:hAnsi="Arial" w:cs="Arial"/>
                <w:b/>
                <w:bCs/>
                <w:shd w:val="clear" w:color="auto" w:fill="FFFFFF"/>
              </w:rPr>
              <w:t>Recibir, elaborar memorando, registrar e informar al ordenador del gasto</w:t>
            </w:r>
          </w:p>
          <w:p w14:paraId="1157FC34" w14:textId="77777777" w:rsidR="00291177" w:rsidRPr="002C0D9D" w:rsidRDefault="00291177" w:rsidP="001203B3">
            <w:pPr>
              <w:rPr>
                <w:rFonts w:ascii="Arial" w:hAnsi="Arial" w:cs="Arial"/>
                <w:b/>
                <w:bCs/>
                <w:shd w:val="clear" w:color="auto" w:fill="FFFFFF"/>
              </w:rPr>
            </w:pPr>
          </w:p>
          <w:p w14:paraId="21B33D0E" w14:textId="06EC6656" w:rsidR="00291177" w:rsidRDefault="00291177" w:rsidP="001203B3">
            <w:pPr>
              <w:rPr>
                <w:rFonts w:ascii="Arial" w:hAnsi="Arial" w:cs="Arial"/>
                <w:shd w:val="clear" w:color="auto" w:fill="FFFFFF"/>
              </w:rPr>
            </w:pPr>
            <w:r w:rsidRPr="002C0D9D">
              <w:rPr>
                <w:rFonts w:ascii="Arial" w:hAnsi="Arial" w:cs="Arial"/>
                <w:shd w:val="clear" w:color="auto" w:fill="FFFFFF"/>
              </w:rPr>
              <w:t xml:space="preserve">El profesional asignado elabora memorando para firma de coordinador del grupo de defensa judicial o subdirector de defensa jurídica y lo remite al </w:t>
            </w:r>
            <w:r w:rsidR="00382F5D">
              <w:rPr>
                <w:rFonts w:ascii="Arial" w:hAnsi="Arial" w:cs="Arial"/>
                <w:shd w:val="clear" w:color="auto" w:fill="FFFFFF"/>
              </w:rPr>
              <w:t>secretario general</w:t>
            </w:r>
            <w:r w:rsidRPr="002C0D9D">
              <w:rPr>
                <w:rFonts w:ascii="Arial" w:hAnsi="Arial" w:cs="Arial"/>
                <w:shd w:val="clear" w:color="auto" w:fill="FFFFFF"/>
              </w:rPr>
              <w:t xml:space="preserve"> a través del gestor documental de la entidad informando sobre la existencia de un crédito judicial dentro de los 15 días calendario siguientes a la ejecutoria de la providencia. </w:t>
            </w:r>
            <w:r>
              <w:rPr>
                <w:rFonts w:ascii="Arial" w:hAnsi="Arial" w:cs="Arial"/>
                <w:shd w:val="clear" w:color="auto" w:fill="FFFFFF"/>
              </w:rPr>
              <w:t xml:space="preserve"> </w:t>
            </w:r>
          </w:p>
          <w:p w14:paraId="1889E857" w14:textId="77777777" w:rsidR="00291177" w:rsidRDefault="00291177" w:rsidP="001203B3">
            <w:pPr>
              <w:rPr>
                <w:rFonts w:ascii="Arial" w:hAnsi="Arial" w:cs="Arial"/>
                <w:shd w:val="clear" w:color="auto" w:fill="FFFFFF"/>
              </w:rPr>
            </w:pPr>
          </w:p>
          <w:p w14:paraId="76877470" w14:textId="41886B50" w:rsidR="00291177" w:rsidRDefault="00291177" w:rsidP="001203B3">
            <w:pPr>
              <w:rPr>
                <w:rFonts w:ascii="Arial" w:hAnsi="Arial" w:cs="Arial"/>
                <w:shd w:val="clear" w:color="auto" w:fill="FFFFFF"/>
              </w:rPr>
            </w:pPr>
            <w:r>
              <w:rPr>
                <w:rFonts w:ascii="Arial" w:hAnsi="Arial" w:cs="Arial"/>
                <w:shd w:val="clear" w:color="auto" w:fill="FFFFFF"/>
              </w:rPr>
              <w:lastRenderedPageBreak/>
              <w:t xml:space="preserve">El memorando </w:t>
            </w:r>
            <w:r w:rsidRPr="00F04113">
              <w:rPr>
                <w:rFonts w:ascii="Arial" w:hAnsi="Arial" w:cs="Arial"/>
                <w:shd w:val="clear" w:color="auto" w:fill="FFFFFF"/>
              </w:rPr>
              <w:t xml:space="preserve"> deberá contener </w:t>
            </w:r>
            <w:r>
              <w:rPr>
                <w:rFonts w:ascii="Arial" w:hAnsi="Arial" w:cs="Arial"/>
                <w:shd w:val="clear" w:color="auto" w:fill="FFFFFF"/>
              </w:rPr>
              <w:t xml:space="preserve">como mínimo </w:t>
            </w:r>
            <w:r w:rsidRPr="00F04113">
              <w:rPr>
                <w:rFonts w:ascii="Arial" w:hAnsi="Arial" w:cs="Arial"/>
                <w:shd w:val="clear" w:color="auto" w:fill="FFFFFF"/>
              </w:rPr>
              <w:t xml:space="preserve">la siguiente información: a) nombres y apellidos o razón social completos del beneficiario de la sentencia, laudo arbitral o conciliación; b) tipo y número de identificación del beneficiario; c) dirección de los beneficiarios de la providencia, laudo arbitral o conciliación que se obtenga del respectivo expediente; d) número de 23 dígitos que identifica el proceso judicial; e) copia de la sentencia, laudo arbitral o auto de aprobación de la conciliación y f) constancia de ejecutoria expedida por el despacho judicial de conocimiento. </w:t>
            </w:r>
          </w:p>
          <w:p w14:paraId="738AAD90" w14:textId="77777777" w:rsidR="00291177" w:rsidRDefault="00291177" w:rsidP="001203B3">
            <w:pPr>
              <w:rPr>
                <w:rFonts w:ascii="Arial" w:hAnsi="Arial" w:cs="Arial"/>
                <w:shd w:val="clear" w:color="auto" w:fill="FFFFFF"/>
              </w:rPr>
            </w:pPr>
          </w:p>
          <w:p w14:paraId="017A15C3" w14:textId="240D4C8A" w:rsidR="00291177" w:rsidRPr="002C0D9D" w:rsidRDefault="00291177" w:rsidP="001203B3">
            <w:pPr>
              <w:rPr>
                <w:rFonts w:ascii="Arial" w:hAnsi="Arial" w:cs="Arial"/>
                <w:shd w:val="clear" w:color="auto" w:fill="FFFFFF"/>
              </w:rPr>
            </w:pPr>
            <w:r w:rsidRPr="00E37690">
              <w:rPr>
                <w:rFonts w:ascii="Arial" w:hAnsi="Arial" w:cs="Arial"/>
                <w:shd w:val="clear" w:color="auto" w:fill="FFFFFF"/>
              </w:rPr>
              <w:t>El registro de la actuación deberá quedar consignado en el formato Base de datos procesos judiciales.</w:t>
            </w:r>
            <w:r w:rsidRPr="002C0D9D">
              <w:rPr>
                <w:rFonts w:ascii="Arial" w:hAnsi="Arial" w:cs="Arial"/>
                <w:shd w:val="clear" w:color="auto" w:fill="FFFFFF"/>
              </w:rPr>
              <w:t xml:space="preserve">  </w:t>
            </w:r>
          </w:p>
          <w:p w14:paraId="42E4459E" w14:textId="4396CF90" w:rsidR="00291177" w:rsidRPr="002C0D9D" w:rsidRDefault="00291177" w:rsidP="001203B3">
            <w:pPr>
              <w:rPr>
                <w:rFonts w:ascii="Arial" w:hAnsi="Arial" w:cs="Arial"/>
                <w:b/>
                <w:bCs/>
                <w:shd w:val="clear" w:color="auto" w:fill="FFFFFF"/>
              </w:rPr>
            </w:pPr>
          </w:p>
        </w:tc>
        <w:tc>
          <w:tcPr>
            <w:tcW w:w="1091" w:type="pct"/>
          </w:tcPr>
          <w:p w14:paraId="7891B67D" w14:textId="77777777" w:rsidR="00291177" w:rsidRPr="002C0D9D" w:rsidRDefault="00291177" w:rsidP="001203B3">
            <w:pPr>
              <w:rPr>
                <w:rFonts w:ascii="Arial" w:hAnsi="Arial" w:cs="Arial"/>
                <w:shd w:val="clear" w:color="auto" w:fill="FFFFFF"/>
              </w:rPr>
            </w:pPr>
          </w:p>
          <w:p w14:paraId="32D731EC" w14:textId="77777777" w:rsidR="00291177" w:rsidRPr="002C0D9D" w:rsidRDefault="00291177" w:rsidP="001203B3">
            <w:pPr>
              <w:rPr>
                <w:rFonts w:ascii="Arial" w:hAnsi="Arial" w:cs="Arial"/>
                <w:shd w:val="clear" w:color="auto" w:fill="FFFFFF"/>
              </w:rPr>
            </w:pPr>
          </w:p>
          <w:p w14:paraId="3751DD6F" w14:textId="77777777" w:rsidR="00B07756" w:rsidRDefault="00B07756" w:rsidP="001203B3">
            <w:pPr>
              <w:rPr>
                <w:rFonts w:ascii="Arial" w:hAnsi="Arial" w:cs="Arial"/>
                <w:shd w:val="clear" w:color="auto" w:fill="FFFFFF"/>
              </w:rPr>
            </w:pPr>
          </w:p>
          <w:p w14:paraId="4A4F9D08" w14:textId="5AA8B042" w:rsidR="00291177" w:rsidRPr="002C0D9D" w:rsidRDefault="00291177" w:rsidP="001203B3">
            <w:pPr>
              <w:rPr>
                <w:rFonts w:ascii="Arial" w:hAnsi="Arial" w:cs="Arial"/>
                <w:shd w:val="clear" w:color="auto" w:fill="FFFFFF"/>
              </w:rPr>
            </w:pPr>
            <w:r w:rsidRPr="002C0D9D">
              <w:rPr>
                <w:rFonts w:ascii="Arial" w:hAnsi="Arial" w:cs="Arial"/>
                <w:shd w:val="clear" w:color="auto" w:fill="FFFFFF"/>
              </w:rPr>
              <w:t>Profesional asignado del grupo de defensa judicial.</w:t>
            </w:r>
          </w:p>
        </w:tc>
        <w:tc>
          <w:tcPr>
            <w:tcW w:w="1238" w:type="pct"/>
          </w:tcPr>
          <w:p w14:paraId="7AB18711" w14:textId="77777777" w:rsidR="00291177" w:rsidRPr="002C0D9D" w:rsidRDefault="00291177" w:rsidP="001203B3">
            <w:pPr>
              <w:rPr>
                <w:rFonts w:ascii="Arial" w:hAnsi="Arial" w:cs="Arial"/>
                <w:shd w:val="clear" w:color="auto" w:fill="FFFFFF"/>
              </w:rPr>
            </w:pPr>
          </w:p>
          <w:p w14:paraId="5B2D31B7" w14:textId="77777777" w:rsidR="00291177" w:rsidRPr="002C0D9D" w:rsidRDefault="00291177" w:rsidP="001203B3">
            <w:pPr>
              <w:rPr>
                <w:rFonts w:ascii="Arial" w:hAnsi="Arial" w:cs="Arial"/>
                <w:shd w:val="clear" w:color="auto" w:fill="FFFFFF"/>
              </w:rPr>
            </w:pPr>
          </w:p>
          <w:p w14:paraId="017E69FF" w14:textId="77777777" w:rsidR="00B07756" w:rsidRDefault="00B07756" w:rsidP="001203B3">
            <w:pPr>
              <w:rPr>
                <w:rFonts w:ascii="Arial" w:hAnsi="Arial" w:cs="Arial"/>
                <w:shd w:val="clear" w:color="auto" w:fill="FFFFFF"/>
              </w:rPr>
            </w:pPr>
          </w:p>
          <w:p w14:paraId="6B48258E" w14:textId="7C667409" w:rsidR="00291177" w:rsidRPr="002C0D9D" w:rsidRDefault="00291177" w:rsidP="001203B3">
            <w:pPr>
              <w:rPr>
                <w:rFonts w:ascii="Arial" w:hAnsi="Arial" w:cs="Arial"/>
                <w:shd w:val="clear" w:color="auto" w:fill="FFFFFF"/>
              </w:rPr>
            </w:pPr>
            <w:r w:rsidRPr="002C0D9D">
              <w:rPr>
                <w:rFonts w:ascii="Arial" w:hAnsi="Arial" w:cs="Arial"/>
                <w:shd w:val="clear" w:color="auto" w:fill="FFFFFF"/>
              </w:rPr>
              <w:t>15 días calendario</w:t>
            </w:r>
          </w:p>
        </w:tc>
        <w:tc>
          <w:tcPr>
            <w:tcW w:w="655" w:type="pct"/>
          </w:tcPr>
          <w:p w14:paraId="76429CE6" w14:textId="77777777" w:rsidR="00291177" w:rsidRPr="002C0D9D" w:rsidRDefault="00291177" w:rsidP="001203B3">
            <w:pPr>
              <w:rPr>
                <w:rFonts w:ascii="Arial" w:hAnsi="Arial" w:cs="Arial"/>
                <w:shd w:val="clear" w:color="auto" w:fill="FFFFFF"/>
              </w:rPr>
            </w:pPr>
          </w:p>
          <w:p w14:paraId="6EED04DD" w14:textId="77777777" w:rsidR="00291177" w:rsidRPr="002C0D9D" w:rsidRDefault="00291177" w:rsidP="001203B3">
            <w:pPr>
              <w:rPr>
                <w:rFonts w:ascii="Arial" w:hAnsi="Arial" w:cs="Arial"/>
                <w:shd w:val="clear" w:color="auto" w:fill="FFFFFF"/>
              </w:rPr>
            </w:pPr>
          </w:p>
          <w:p w14:paraId="5F8DBA2D" w14:textId="77777777" w:rsidR="00B07756" w:rsidRDefault="00B07756" w:rsidP="001203B3">
            <w:pPr>
              <w:rPr>
                <w:rFonts w:ascii="Arial" w:hAnsi="Arial" w:cs="Arial"/>
                <w:shd w:val="clear" w:color="auto" w:fill="FFFFFF"/>
              </w:rPr>
            </w:pPr>
          </w:p>
          <w:p w14:paraId="2CEABC4C" w14:textId="69B4FE54" w:rsidR="00291177" w:rsidRPr="002C0D9D" w:rsidRDefault="00291177" w:rsidP="001203B3">
            <w:pPr>
              <w:rPr>
                <w:rFonts w:ascii="Arial" w:hAnsi="Arial" w:cs="Arial"/>
                <w:shd w:val="clear" w:color="auto" w:fill="FFFFFF"/>
              </w:rPr>
            </w:pPr>
            <w:r w:rsidRPr="002C0D9D">
              <w:rPr>
                <w:rFonts w:ascii="Arial" w:hAnsi="Arial" w:cs="Arial"/>
                <w:shd w:val="clear" w:color="auto" w:fill="FFFFFF"/>
              </w:rPr>
              <w:t>Gestor documental</w:t>
            </w:r>
            <w:r w:rsidR="00332A02">
              <w:rPr>
                <w:rFonts w:ascii="Arial" w:hAnsi="Arial" w:cs="Arial"/>
                <w:shd w:val="clear" w:color="auto" w:fill="FFFFFF"/>
              </w:rPr>
              <w:t xml:space="preserve"> de la entidad</w:t>
            </w:r>
          </w:p>
          <w:p w14:paraId="49D596C5" w14:textId="77777777" w:rsidR="00291177" w:rsidRPr="002C0D9D" w:rsidRDefault="00291177" w:rsidP="001203B3">
            <w:pPr>
              <w:rPr>
                <w:rFonts w:ascii="Arial" w:hAnsi="Arial" w:cs="Arial"/>
                <w:shd w:val="clear" w:color="auto" w:fill="FFFFFF"/>
              </w:rPr>
            </w:pPr>
          </w:p>
        </w:tc>
      </w:tr>
      <w:tr w:rsidR="00291177" w:rsidRPr="002C0D9D" w14:paraId="613AA131" w14:textId="77777777" w:rsidTr="001203B3">
        <w:tc>
          <w:tcPr>
            <w:tcW w:w="106" w:type="pct"/>
          </w:tcPr>
          <w:p w14:paraId="4DE80A88" w14:textId="1FACE424" w:rsidR="00291177" w:rsidRPr="002C0D9D" w:rsidRDefault="00291177" w:rsidP="001203B3">
            <w:pPr>
              <w:rPr>
                <w:rFonts w:ascii="Arial" w:hAnsi="Arial" w:cs="Arial"/>
                <w:b/>
                <w:bCs/>
                <w:shd w:val="clear" w:color="auto" w:fill="FFFFFF"/>
              </w:rPr>
            </w:pPr>
            <w:r>
              <w:rPr>
                <w:rFonts w:ascii="Arial" w:hAnsi="Arial" w:cs="Arial"/>
                <w:b/>
                <w:bCs/>
                <w:shd w:val="clear" w:color="auto" w:fill="FFFFFF"/>
              </w:rPr>
              <w:t>3.</w:t>
            </w:r>
          </w:p>
        </w:tc>
        <w:tc>
          <w:tcPr>
            <w:tcW w:w="1910" w:type="pct"/>
          </w:tcPr>
          <w:p w14:paraId="12232FF4" w14:textId="2446DF0F" w:rsidR="00291177" w:rsidRPr="002C0D9D" w:rsidRDefault="00291177" w:rsidP="001203B3">
            <w:pPr>
              <w:rPr>
                <w:rFonts w:ascii="Arial" w:hAnsi="Arial" w:cs="Arial"/>
                <w:b/>
                <w:bCs/>
                <w:shd w:val="clear" w:color="auto" w:fill="FFFFFF"/>
              </w:rPr>
            </w:pPr>
            <w:r w:rsidRPr="002C0D9D">
              <w:rPr>
                <w:rFonts w:ascii="Arial" w:hAnsi="Arial" w:cs="Arial"/>
                <w:b/>
                <w:bCs/>
                <w:shd w:val="clear" w:color="auto" w:fill="FFFFFF"/>
              </w:rPr>
              <w:t>Recepcionar memorando de crédito judicial</w:t>
            </w:r>
          </w:p>
          <w:p w14:paraId="16533533" w14:textId="77777777" w:rsidR="00291177" w:rsidRDefault="00291177" w:rsidP="001203B3">
            <w:pPr>
              <w:rPr>
                <w:rFonts w:ascii="Arial" w:hAnsi="Arial" w:cs="Arial"/>
                <w:b/>
                <w:bCs/>
                <w:shd w:val="clear" w:color="auto" w:fill="FFFFFF"/>
              </w:rPr>
            </w:pPr>
          </w:p>
          <w:p w14:paraId="38425C71" w14:textId="5AE303C9" w:rsidR="00291177" w:rsidRPr="005E2C75" w:rsidRDefault="00291177" w:rsidP="001203B3">
            <w:pPr>
              <w:rPr>
                <w:rFonts w:ascii="Arial" w:hAnsi="Arial" w:cs="Arial"/>
                <w:shd w:val="clear" w:color="auto" w:fill="FFFFFF"/>
              </w:rPr>
            </w:pPr>
            <w:r>
              <w:rPr>
                <w:rFonts w:ascii="Arial" w:hAnsi="Arial" w:cs="Arial"/>
                <w:shd w:val="clear" w:color="auto" w:fill="FFFFFF"/>
              </w:rPr>
              <w:t xml:space="preserve">El secretario general </w:t>
            </w:r>
            <w:r w:rsidR="00382F5D">
              <w:rPr>
                <w:rFonts w:ascii="Arial" w:hAnsi="Arial" w:cs="Arial"/>
                <w:shd w:val="clear" w:color="auto" w:fill="FFFFFF"/>
              </w:rPr>
              <w:t>recibe para</w:t>
            </w:r>
            <w:r w:rsidR="00471851">
              <w:rPr>
                <w:rFonts w:ascii="Arial" w:hAnsi="Arial" w:cs="Arial"/>
                <w:shd w:val="clear" w:color="auto" w:fill="FFFFFF"/>
              </w:rPr>
              <w:t xml:space="preserve"> su información y fines pertinentes </w:t>
            </w:r>
            <w:r>
              <w:rPr>
                <w:rFonts w:ascii="Arial" w:hAnsi="Arial" w:cs="Arial"/>
                <w:shd w:val="clear" w:color="auto" w:fill="FFFFFF"/>
              </w:rPr>
              <w:t>el memorando descrito en la actividad 2.</w:t>
            </w:r>
          </w:p>
          <w:p w14:paraId="5163D932" w14:textId="76BAA409" w:rsidR="00291177" w:rsidRPr="002C0D9D" w:rsidRDefault="00291177" w:rsidP="001203B3">
            <w:pPr>
              <w:rPr>
                <w:rFonts w:ascii="Arial" w:hAnsi="Arial" w:cs="Arial"/>
                <w:b/>
                <w:bCs/>
                <w:shd w:val="clear" w:color="auto" w:fill="FFFFFF"/>
              </w:rPr>
            </w:pPr>
          </w:p>
        </w:tc>
        <w:tc>
          <w:tcPr>
            <w:tcW w:w="1091" w:type="pct"/>
          </w:tcPr>
          <w:p w14:paraId="26969D84" w14:textId="77777777" w:rsidR="00291177" w:rsidRDefault="00291177" w:rsidP="001203B3">
            <w:pPr>
              <w:rPr>
                <w:rFonts w:ascii="Arial" w:hAnsi="Arial" w:cs="Arial"/>
                <w:shd w:val="clear" w:color="auto" w:fill="FFFFFF"/>
              </w:rPr>
            </w:pPr>
          </w:p>
          <w:p w14:paraId="6CDCD906" w14:textId="77777777" w:rsidR="00291177" w:rsidRDefault="00291177" w:rsidP="001203B3">
            <w:pPr>
              <w:rPr>
                <w:rFonts w:ascii="Arial" w:hAnsi="Arial" w:cs="Arial"/>
                <w:shd w:val="clear" w:color="auto" w:fill="FFFFFF"/>
              </w:rPr>
            </w:pPr>
          </w:p>
          <w:p w14:paraId="7E902BCD" w14:textId="67A3217D" w:rsidR="00291177" w:rsidRPr="002C0D9D" w:rsidRDefault="00291177" w:rsidP="001203B3">
            <w:pPr>
              <w:rPr>
                <w:rFonts w:ascii="Arial" w:hAnsi="Arial" w:cs="Arial"/>
                <w:shd w:val="clear" w:color="auto" w:fill="FFFFFF"/>
              </w:rPr>
            </w:pPr>
            <w:r w:rsidRPr="002C0D9D">
              <w:rPr>
                <w:rFonts w:ascii="Arial" w:hAnsi="Arial" w:cs="Arial"/>
                <w:shd w:val="clear" w:color="auto" w:fill="FFFFFF"/>
              </w:rPr>
              <w:t>Secretari</w:t>
            </w:r>
            <w:r>
              <w:rPr>
                <w:rFonts w:ascii="Arial" w:hAnsi="Arial" w:cs="Arial"/>
                <w:shd w:val="clear" w:color="auto" w:fill="FFFFFF"/>
              </w:rPr>
              <w:t>o</w:t>
            </w:r>
            <w:r w:rsidRPr="002C0D9D">
              <w:rPr>
                <w:rFonts w:ascii="Arial" w:hAnsi="Arial" w:cs="Arial"/>
                <w:shd w:val="clear" w:color="auto" w:fill="FFFFFF"/>
              </w:rPr>
              <w:t xml:space="preserve"> general </w:t>
            </w:r>
          </w:p>
        </w:tc>
        <w:tc>
          <w:tcPr>
            <w:tcW w:w="1238" w:type="pct"/>
          </w:tcPr>
          <w:p w14:paraId="18D3B13A" w14:textId="77777777" w:rsidR="00291177" w:rsidRDefault="00291177" w:rsidP="001203B3">
            <w:pPr>
              <w:rPr>
                <w:rFonts w:ascii="Arial" w:hAnsi="Arial" w:cs="Arial"/>
                <w:shd w:val="clear" w:color="auto" w:fill="FFFFFF"/>
              </w:rPr>
            </w:pPr>
          </w:p>
          <w:p w14:paraId="780EFD98" w14:textId="77777777" w:rsidR="00291177" w:rsidRDefault="00291177" w:rsidP="001203B3">
            <w:pPr>
              <w:rPr>
                <w:rFonts w:ascii="Arial" w:hAnsi="Arial" w:cs="Arial"/>
                <w:shd w:val="clear" w:color="auto" w:fill="FFFFFF"/>
              </w:rPr>
            </w:pPr>
          </w:p>
          <w:p w14:paraId="7BED531A" w14:textId="5EF8C957" w:rsidR="00291177" w:rsidRPr="002C0D9D" w:rsidRDefault="00B07756" w:rsidP="001203B3">
            <w:pPr>
              <w:rPr>
                <w:rFonts w:ascii="Arial" w:hAnsi="Arial" w:cs="Arial"/>
                <w:shd w:val="clear" w:color="auto" w:fill="FFFFFF"/>
              </w:rPr>
            </w:pPr>
            <w:r>
              <w:rPr>
                <w:rFonts w:ascii="Arial" w:hAnsi="Arial" w:cs="Arial"/>
                <w:shd w:val="clear" w:color="auto" w:fill="FFFFFF"/>
              </w:rPr>
              <w:t>No aplica</w:t>
            </w:r>
          </w:p>
        </w:tc>
        <w:tc>
          <w:tcPr>
            <w:tcW w:w="655" w:type="pct"/>
          </w:tcPr>
          <w:p w14:paraId="015A00EE" w14:textId="77777777" w:rsidR="00291177" w:rsidRDefault="00291177" w:rsidP="001203B3">
            <w:pPr>
              <w:rPr>
                <w:rFonts w:ascii="Arial" w:hAnsi="Arial" w:cs="Arial"/>
                <w:shd w:val="clear" w:color="auto" w:fill="FFFFFF"/>
              </w:rPr>
            </w:pPr>
          </w:p>
          <w:p w14:paraId="2D5419AE" w14:textId="77777777" w:rsidR="00291177" w:rsidRDefault="00291177" w:rsidP="001203B3">
            <w:pPr>
              <w:rPr>
                <w:rFonts w:ascii="Arial" w:hAnsi="Arial" w:cs="Arial"/>
                <w:shd w:val="clear" w:color="auto" w:fill="FFFFFF"/>
              </w:rPr>
            </w:pPr>
          </w:p>
          <w:p w14:paraId="5A9A018F" w14:textId="74E26BF2" w:rsidR="00291177" w:rsidRPr="002C0D9D" w:rsidRDefault="00291177" w:rsidP="001203B3">
            <w:pPr>
              <w:rPr>
                <w:rFonts w:ascii="Arial" w:hAnsi="Arial" w:cs="Arial"/>
                <w:shd w:val="clear" w:color="auto" w:fill="FFFFFF"/>
              </w:rPr>
            </w:pPr>
            <w:r w:rsidRPr="002C0D9D">
              <w:rPr>
                <w:rFonts w:ascii="Arial" w:hAnsi="Arial" w:cs="Arial"/>
                <w:shd w:val="clear" w:color="auto" w:fill="FFFFFF"/>
              </w:rPr>
              <w:t>Memorando</w:t>
            </w:r>
          </w:p>
        </w:tc>
      </w:tr>
      <w:tr w:rsidR="00291177" w:rsidRPr="002C0D9D" w14:paraId="335FEA9E" w14:textId="77777777" w:rsidTr="001203B3">
        <w:tc>
          <w:tcPr>
            <w:tcW w:w="106" w:type="pct"/>
          </w:tcPr>
          <w:p w14:paraId="198DCAAA" w14:textId="42181593" w:rsidR="00291177" w:rsidRPr="002C0D9D" w:rsidRDefault="00291177" w:rsidP="001203B3">
            <w:pPr>
              <w:rPr>
                <w:rFonts w:ascii="Arial" w:hAnsi="Arial" w:cs="Arial"/>
                <w:b/>
                <w:bCs/>
                <w:shd w:val="clear" w:color="auto" w:fill="FFFFFF"/>
              </w:rPr>
            </w:pPr>
            <w:r>
              <w:rPr>
                <w:rFonts w:ascii="Arial" w:hAnsi="Arial" w:cs="Arial"/>
                <w:b/>
                <w:bCs/>
                <w:shd w:val="clear" w:color="auto" w:fill="FFFFFF"/>
              </w:rPr>
              <w:t>4.</w:t>
            </w:r>
          </w:p>
        </w:tc>
        <w:tc>
          <w:tcPr>
            <w:tcW w:w="1910" w:type="pct"/>
          </w:tcPr>
          <w:p w14:paraId="1BFD82CC" w14:textId="6D2758FD" w:rsidR="00291177" w:rsidRPr="002C0D9D" w:rsidRDefault="00291177" w:rsidP="001203B3">
            <w:pPr>
              <w:rPr>
                <w:rFonts w:ascii="Arial" w:hAnsi="Arial" w:cs="Arial"/>
                <w:b/>
                <w:bCs/>
                <w:shd w:val="clear" w:color="auto" w:fill="FFFFFF"/>
              </w:rPr>
            </w:pPr>
            <w:r w:rsidRPr="002C0D9D">
              <w:rPr>
                <w:rFonts w:ascii="Arial" w:hAnsi="Arial" w:cs="Arial"/>
                <w:b/>
                <w:bCs/>
                <w:shd w:val="clear" w:color="auto" w:fill="FFFFFF"/>
              </w:rPr>
              <w:t>Revisar el cumplimiento de requisitos para el pago</w:t>
            </w:r>
          </w:p>
          <w:p w14:paraId="1698A722" w14:textId="77777777" w:rsidR="00291177" w:rsidRPr="002C0D9D" w:rsidRDefault="00291177" w:rsidP="001203B3">
            <w:pPr>
              <w:rPr>
                <w:rFonts w:ascii="Arial" w:hAnsi="Arial" w:cs="Arial"/>
                <w:shd w:val="clear" w:color="auto" w:fill="FFFFFF"/>
              </w:rPr>
            </w:pPr>
          </w:p>
          <w:p w14:paraId="75A7B555" w14:textId="4E732014" w:rsidR="00291177" w:rsidRPr="002C0D9D" w:rsidRDefault="00291177" w:rsidP="001203B3">
            <w:pPr>
              <w:rPr>
                <w:rFonts w:ascii="Arial" w:hAnsi="Arial" w:cs="Arial"/>
                <w:shd w:val="clear" w:color="auto" w:fill="FFFFFF"/>
              </w:rPr>
            </w:pPr>
            <w:r w:rsidRPr="00E72CE2">
              <w:rPr>
                <w:rFonts w:ascii="Arial" w:hAnsi="Arial" w:cs="Arial"/>
                <w:shd w:val="clear" w:color="auto" w:fill="FFFFFF"/>
              </w:rPr>
              <w:t>Una vez recibid</w:t>
            </w:r>
            <w:r>
              <w:rPr>
                <w:rFonts w:ascii="Arial" w:hAnsi="Arial" w:cs="Arial"/>
                <w:shd w:val="clear" w:color="auto" w:fill="FFFFFF"/>
              </w:rPr>
              <w:t xml:space="preserve">a la solicitud de pago de la providencia judicial, </w:t>
            </w:r>
            <w:r w:rsidRPr="00E72CE2">
              <w:rPr>
                <w:rFonts w:ascii="Arial" w:hAnsi="Arial" w:cs="Arial"/>
                <w:shd w:val="clear" w:color="auto" w:fill="FFFFFF"/>
              </w:rPr>
              <w:t>el</w:t>
            </w:r>
            <w:r w:rsidRPr="002C0D9D">
              <w:rPr>
                <w:rFonts w:ascii="Arial" w:hAnsi="Arial" w:cs="Arial"/>
                <w:shd w:val="clear" w:color="auto" w:fill="FFFFFF"/>
              </w:rPr>
              <w:t xml:space="preserve"> profesional asignado del </w:t>
            </w:r>
            <w:r w:rsidRPr="002C0D9D">
              <w:rPr>
                <w:rFonts w:ascii="Arial" w:hAnsi="Arial" w:cs="Arial"/>
                <w:shd w:val="clear" w:color="auto" w:fill="FFFFFF"/>
              </w:rPr>
              <w:lastRenderedPageBreak/>
              <w:t xml:space="preserve">grupo de defensa judicial revisa si la información </w:t>
            </w:r>
            <w:r>
              <w:rPr>
                <w:rFonts w:ascii="Arial" w:hAnsi="Arial" w:cs="Arial"/>
                <w:shd w:val="clear" w:color="auto" w:fill="FFFFFF"/>
              </w:rPr>
              <w:t>suministrada</w:t>
            </w:r>
            <w:r w:rsidRPr="002C0D9D">
              <w:rPr>
                <w:rFonts w:ascii="Arial" w:hAnsi="Arial" w:cs="Arial"/>
                <w:shd w:val="clear" w:color="auto" w:fill="FFFFFF"/>
              </w:rPr>
              <w:t xml:space="preserve"> es suficiente para proceder a la liquidación del crédito judicial conforme a lo previsto en las políticas de operación y normativ</w:t>
            </w:r>
            <w:r>
              <w:rPr>
                <w:rFonts w:ascii="Arial" w:hAnsi="Arial" w:cs="Arial"/>
                <w:shd w:val="clear" w:color="auto" w:fill="FFFFFF"/>
              </w:rPr>
              <w:t>a</w:t>
            </w:r>
            <w:r w:rsidRPr="002C0D9D">
              <w:rPr>
                <w:rFonts w:ascii="Arial" w:hAnsi="Arial" w:cs="Arial"/>
                <w:shd w:val="clear" w:color="auto" w:fill="FFFFFF"/>
              </w:rPr>
              <w:t xml:space="preserve"> vigente.</w:t>
            </w:r>
          </w:p>
          <w:p w14:paraId="54424E86" w14:textId="77777777" w:rsidR="00291177" w:rsidRDefault="00291177" w:rsidP="001203B3">
            <w:pPr>
              <w:rPr>
                <w:rFonts w:ascii="Arial" w:hAnsi="Arial" w:cs="Arial"/>
                <w:shd w:val="clear" w:color="auto" w:fill="FFFFFF"/>
              </w:rPr>
            </w:pPr>
          </w:p>
          <w:p w14:paraId="5B9024CE" w14:textId="679B0183" w:rsidR="00291177" w:rsidRPr="009A696F" w:rsidRDefault="00291177" w:rsidP="001203B3">
            <w:pPr>
              <w:rPr>
                <w:rFonts w:ascii="Arial" w:hAnsi="Arial" w:cs="Arial"/>
                <w:b/>
                <w:bCs/>
                <w:shd w:val="clear" w:color="auto" w:fill="FFFFFF"/>
              </w:rPr>
            </w:pPr>
            <w:r w:rsidRPr="002C0D9D">
              <w:rPr>
                <w:rFonts w:ascii="Arial" w:hAnsi="Arial" w:cs="Arial"/>
                <w:shd w:val="clear" w:color="auto" w:fill="FFFFFF"/>
              </w:rPr>
              <w:t>En el evento que se evidencie la falta de documentación e información</w:t>
            </w:r>
            <w:r>
              <w:rPr>
                <w:rFonts w:ascii="Arial" w:hAnsi="Arial" w:cs="Arial"/>
                <w:shd w:val="clear" w:color="auto" w:fill="FFFFFF"/>
              </w:rPr>
              <w:t xml:space="preserve"> </w:t>
            </w:r>
            <w:r w:rsidRPr="002C0D9D">
              <w:rPr>
                <w:rFonts w:ascii="Arial" w:hAnsi="Arial" w:cs="Arial"/>
                <w:shd w:val="clear" w:color="auto" w:fill="FFFFFF"/>
              </w:rPr>
              <w:t>indispensable para la liquidación del crédito</w:t>
            </w:r>
            <w:r>
              <w:rPr>
                <w:rFonts w:ascii="Arial" w:hAnsi="Arial" w:cs="Arial"/>
                <w:shd w:val="clear" w:color="auto" w:fill="FFFFFF"/>
              </w:rPr>
              <w:t xml:space="preserve">, </w:t>
            </w:r>
            <w:r w:rsidRPr="009A696F">
              <w:rPr>
                <w:rFonts w:ascii="Arial" w:hAnsi="Arial" w:cs="Arial"/>
                <w:b/>
                <w:bCs/>
                <w:shd w:val="clear" w:color="auto" w:fill="FFFFFF"/>
              </w:rPr>
              <w:t>continúa en la actividad 5</w:t>
            </w:r>
          </w:p>
          <w:p w14:paraId="4AD3BCCC" w14:textId="77777777" w:rsidR="00291177" w:rsidRPr="002C0D9D" w:rsidRDefault="00291177" w:rsidP="001203B3">
            <w:pPr>
              <w:rPr>
                <w:rFonts w:ascii="Arial" w:hAnsi="Arial" w:cs="Arial"/>
                <w:shd w:val="clear" w:color="auto" w:fill="FFFFFF"/>
              </w:rPr>
            </w:pPr>
          </w:p>
          <w:p w14:paraId="61F50EEC" w14:textId="382E8D40" w:rsidR="00291177" w:rsidRDefault="00291177" w:rsidP="001203B3">
            <w:pPr>
              <w:rPr>
                <w:rFonts w:ascii="Arial" w:hAnsi="Arial" w:cs="Arial"/>
                <w:shd w:val="clear" w:color="auto" w:fill="FFFFFF"/>
              </w:rPr>
            </w:pPr>
            <w:r w:rsidRPr="002C0D9D">
              <w:rPr>
                <w:rFonts w:ascii="Arial" w:hAnsi="Arial" w:cs="Arial"/>
                <w:shd w:val="clear" w:color="auto" w:fill="FFFFFF"/>
              </w:rPr>
              <w:t>En virtud de lo establecido en los artículos 9 del Decreto Ley 019 de 2012, y 10 del Decreto 2106 de 2019, en el evento que sea necesario requerir a otras entidades públicas documentos e información indispensable para dar continuidad al trámite de pagos de créditos judiciales a cargo de la SNS, se deberá requerir directamente, sin perjuicio de que el beneficiario o su apoderado los pueda aportar.</w:t>
            </w:r>
          </w:p>
          <w:p w14:paraId="3C51D756" w14:textId="77777777" w:rsidR="00291177" w:rsidRDefault="00291177" w:rsidP="001203B3">
            <w:pPr>
              <w:rPr>
                <w:rFonts w:ascii="Arial" w:hAnsi="Arial" w:cs="Arial"/>
                <w:shd w:val="clear" w:color="auto" w:fill="FFFFFF"/>
              </w:rPr>
            </w:pPr>
          </w:p>
          <w:p w14:paraId="75801A4A" w14:textId="764015BB" w:rsidR="00291177" w:rsidRPr="00AD1B66" w:rsidRDefault="00291177" w:rsidP="001203B3">
            <w:pPr>
              <w:rPr>
                <w:rFonts w:ascii="Arial" w:hAnsi="Arial" w:cs="Arial"/>
                <w:b/>
                <w:bCs/>
                <w:shd w:val="clear" w:color="auto" w:fill="FFFFFF"/>
              </w:rPr>
            </w:pPr>
            <w:r>
              <w:rPr>
                <w:rFonts w:ascii="Arial" w:hAnsi="Arial" w:cs="Arial"/>
                <w:shd w:val="clear" w:color="auto" w:fill="FFFFFF"/>
              </w:rPr>
              <w:t>Si por el contrario no se requiere complementar información para</w:t>
            </w:r>
            <w:r w:rsidRPr="002C0D9D">
              <w:rPr>
                <w:rFonts w:ascii="Arial" w:hAnsi="Arial" w:cs="Arial"/>
                <w:shd w:val="clear" w:color="auto" w:fill="FFFFFF"/>
              </w:rPr>
              <w:t xml:space="preserve"> proceder a la liquidación del crédito judicial conforme a lo previsto en las políticas de operación y normativ</w:t>
            </w:r>
            <w:r>
              <w:rPr>
                <w:rFonts w:ascii="Arial" w:hAnsi="Arial" w:cs="Arial"/>
                <w:shd w:val="clear" w:color="auto" w:fill="FFFFFF"/>
              </w:rPr>
              <w:t>a</w:t>
            </w:r>
            <w:r w:rsidRPr="002C0D9D">
              <w:rPr>
                <w:rFonts w:ascii="Arial" w:hAnsi="Arial" w:cs="Arial"/>
                <w:shd w:val="clear" w:color="auto" w:fill="FFFFFF"/>
              </w:rPr>
              <w:t xml:space="preserve"> vigente</w:t>
            </w:r>
            <w:r>
              <w:rPr>
                <w:rFonts w:ascii="Arial" w:hAnsi="Arial" w:cs="Arial"/>
                <w:shd w:val="clear" w:color="auto" w:fill="FFFFFF"/>
              </w:rPr>
              <w:t xml:space="preserve">, </w:t>
            </w:r>
            <w:r w:rsidRPr="00AD1B66">
              <w:rPr>
                <w:rFonts w:ascii="Arial" w:hAnsi="Arial" w:cs="Arial"/>
                <w:b/>
                <w:bCs/>
                <w:shd w:val="clear" w:color="auto" w:fill="FFFFFF"/>
              </w:rPr>
              <w:t xml:space="preserve">continúa en la actividad </w:t>
            </w:r>
            <w:r>
              <w:rPr>
                <w:rFonts w:ascii="Arial" w:hAnsi="Arial" w:cs="Arial"/>
                <w:b/>
                <w:bCs/>
                <w:shd w:val="clear" w:color="auto" w:fill="FFFFFF"/>
              </w:rPr>
              <w:t>6</w:t>
            </w:r>
            <w:r w:rsidRPr="00AD1B66">
              <w:rPr>
                <w:rFonts w:ascii="Arial" w:hAnsi="Arial" w:cs="Arial"/>
                <w:b/>
                <w:bCs/>
                <w:shd w:val="clear" w:color="auto" w:fill="FFFFFF"/>
              </w:rPr>
              <w:t>.</w:t>
            </w:r>
          </w:p>
          <w:p w14:paraId="0634238D" w14:textId="77777777" w:rsidR="00291177" w:rsidRPr="002C0D9D" w:rsidRDefault="00291177" w:rsidP="001203B3">
            <w:pPr>
              <w:rPr>
                <w:rFonts w:ascii="Arial" w:hAnsi="Arial" w:cs="Arial"/>
                <w:b/>
                <w:bCs/>
                <w:shd w:val="clear" w:color="auto" w:fill="FFFFFF"/>
              </w:rPr>
            </w:pPr>
          </w:p>
        </w:tc>
        <w:tc>
          <w:tcPr>
            <w:tcW w:w="1091" w:type="pct"/>
          </w:tcPr>
          <w:p w14:paraId="0732A681" w14:textId="77777777" w:rsidR="00291177" w:rsidRPr="002C0D9D" w:rsidRDefault="00291177" w:rsidP="001203B3">
            <w:pPr>
              <w:rPr>
                <w:rFonts w:ascii="Arial" w:hAnsi="Arial" w:cs="Arial"/>
                <w:shd w:val="clear" w:color="auto" w:fill="FFFFFF"/>
              </w:rPr>
            </w:pPr>
          </w:p>
          <w:p w14:paraId="1F2A77A8" w14:textId="77777777" w:rsidR="00291177" w:rsidRPr="002C0D9D" w:rsidRDefault="00291177" w:rsidP="001203B3">
            <w:pPr>
              <w:rPr>
                <w:rFonts w:ascii="Arial" w:hAnsi="Arial" w:cs="Arial"/>
                <w:shd w:val="clear" w:color="auto" w:fill="FFFFFF"/>
              </w:rPr>
            </w:pPr>
          </w:p>
          <w:p w14:paraId="72B64F7E" w14:textId="77777777" w:rsidR="002B1820" w:rsidRDefault="002B1820" w:rsidP="001203B3">
            <w:pPr>
              <w:rPr>
                <w:rFonts w:ascii="Arial" w:hAnsi="Arial" w:cs="Arial"/>
                <w:shd w:val="clear" w:color="auto" w:fill="FFFFFF"/>
              </w:rPr>
            </w:pPr>
          </w:p>
          <w:p w14:paraId="19449046" w14:textId="585C9468" w:rsidR="00291177" w:rsidRPr="002C0D9D" w:rsidRDefault="00291177" w:rsidP="001203B3">
            <w:pPr>
              <w:rPr>
                <w:rFonts w:ascii="Arial" w:hAnsi="Arial" w:cs="Arial"/>
                <w:shd w:val="clear" w:color="auto" w:fill="FFFFFF"/>
              </w:rPr>
            </w:pPr>
            <w:r w:rsidRPr="002C0D9D">
              <w:rPr>
                <w:rFonts w:ascii="Arial" w:hAnsi="Arial" w:cs="Arial"/>
                <w:shd w:val="clear" w:color="auto" w:fill="FFFFFF"/>
              </w:rPr>
              <w:t>Profesional asignado del grupo de defensa judicial.</w:t>
            </w:r>
          </w:p>
        </w:tc>
        <w:tc>
          <w:tcPr>
            <w:tcW w:w="1238" w:type="pct"/>
          </w:tcPr>
          <w:p w14:paraId="3B624F0D" w14:textId="77777777" w:rsidR="00291177" w:rsidRPr="002C0D9D" w:rsidRDefault="00291177" w:rsidP="001203B3">
            <w:pPr>
              <w:rPr>
                <w:rFonts w:ascii="Arial" w:hAnsi="Arial" w:cs="Arial"/>
                <w:shd w:val="clear" w:color="auto" w:fill="FFFFFF"/>
              </w:rPr>
            </w:pPr>
          </w:p>
          <w:p w14:paraId="46A9B05B" w14:textId="77777777" w:rsidR="00291177" w:rsidRPr="002C0D9D" w:rsidRDefault="00291177" w:rsidP="001203B3">
            <w:pPr>
              <w:rPr>
                <w:rFonts w:ascii="Arial" w:hAnsi="Arial" w:cs="Arial"/>
                <w:shd w:val="clear" w:color="auto" w:fill="FFFFFF"/>
              </w:rPr>
            </w:pPr>
          </w:p>
          <w:p w14:paraId="47F25731" w14:textId="77777777" w:rsidR="002B1820" w:rsidRDefault="002B1820" w:rsidP="001203B3">
            <w:pPr>
              <w:rPr>
                <w:rFonts w:ascii="Arial" w:hAnsi="Arial" w:cs="Arial"/>
                <w:shd w:val="clear" w:color="auto" w:fill="FFFFFF"/>
              </w:rPr>
            </w:pPr>
          </w:p>
          <w:p w14:paraId="765F7BCF" w14:textId="57147C53" w:rsidR="00291177" w:rsidRPr="002C0D9D" w:rsidRDefault="00291177" w:rsidP="001203B3">
            <w:pPr>
              <w:rPr>
                <w:rFonts w:ascii="Arial" w:hAnsi="Arial" w:cs="Arial"/>
                <w:shd w:val="clear" w:color="auto" w:fill="FFFFFF"/>
              </w:rPr>
            </w:pPr>
            <w:r w:rsidRPr="002C0D9D">
              <w:rPr>
                <w:rFonts w:ascii="Arial" w:hAnsi="Arial" w:cs="Arial"/>
                <w:shd w:val="clear" w:color="auto" w:fill="FFFFFF"/>
              </w:rPr>
              <w:t>5 días hábiles</w:t>
            </w:r>
          </w:p>
        </w:tc>
        <w:tc>
          <w:tcPr>
            <w:tcW w:w="655" w:type="pct"/>
          </w:tcPr>
          <w:p w14:paraId="75055DDA" w14:textId="77777777" w:rsidR="00291177" w:rsidRPr="002C0D9D" w:rsidRDefault="00291177" w:rsidP="001203B3">
            <w:pPr>
              <w:rPr>
                <w:rFonts w:ascii="Arial" w:hAnsi="Arial" w:cs="Arial"/>
                <w:shd w:val="clear" w:color="auto" w:fill="FFFFFF"/>
              </w:rPr>
            </w:pPr>
          </w:p>
          <w:p w14:paraId="7B30C798" w14:textId="77777777" w:rsidR="00291177" w:rsidRPr="002C0D9D" w:rsidRDefault="00291177" w:rsidP="001203B3">
            <w:pPr>
              <w:rPr>
                <w:rFonts w:ascii="Arial" w:hAnsi="Arial" w:cs="Arial"/>
                <w:shd w:val="clear" w:color="auto" w:fill="FFFFFF"/>
              </w:rPr>
            </w:pPr>
          </w:p>
          <w:p w14:paraId="3F7F358E" w14:textId="77777777" w:rsidR="002B1820" w:rsidRDefault="002B1820" w:rsidP="001203B3">
            <w:pPr>
              <w:rPr>
                <w:rFonts w:ascii="Arial" w:hAnsi="Arial" w:cs="Arial"/>
                <w:shd w:val="clear" w:color="auto" w:fill="FFFFFF"/>
              </w:rPr>
            </w:pPr>
          </w:p>
          <w:p w14:paraId="481D9EBF" w14:textId="245B7563" w:rsidR="00291177" w:rsidRPr="002C0D9D" w:rsidRDefault="00291177" w:rsidP="001203B3">
            <w:pPr>
              <w:rPr>
                <w:rFonts w:ascii="Arial" w:hAnsi="Arial" w:cs="Arial"/>
                <w:shd w:val="clear" w:color="auto" w:fill="FFFFFF"/>
              </w:rPr>
            </w:pPr>
            <w:r w:rsidRPr="002C0D9D">
              <w:rPr>
                <w:rFonts w:ascii="Arial" w:hAnsi="Arial" w:cs="Arial"/>
                <w:shd w:val="clear" w:color="auto" w:fill="FFFFFF"/>
              </w:rPr>
              <w:lastRenderedPageBreak/>
              <w:t>Gestor documental</w:t>
            </w:r>
            <w:r w:rsidR="00332A02">
              <w:rPr>
                <w:rFonts w:ascii="Arial" w:hAnsi="Arial" w:cs="Arial"/>
                <w:shd w:val="clear" w:color="auto" w:fill="FFFFFF"/>
              </w:rPr>
              <w:t xml:space="preserve"> de la entidad</w:t>
            </w:r>
          </w:p>
        </w:tc>
      </w:tr>
      <w:tr w:rsidR="00291177" w:rsidRPr="002C0D9D" w14:paraId="3190081B" w14:textId="77777777" w:rsidTr="001203B3">
        <w:tc>
          <w:tcPr>
            <w:tcW w:w="106" w:type="pct"/>
          </w:tcPr>
          <w:p w14:paraId="093AA107" w14:textId="79AB8C0C" w:rsidR="00291177" w:rsidRDefault="00291177" w:rsidP="001203B3">
            <w:pPr>
              <w:rPr>
                <w:rFonts w:ascii="Arial" w:hAnsi="Arial" w:cs="Arial"/>
                <w:b/>
                <w:bCs/>
                <w:shd w:val="clear" w:color="auto" w:fill="FFFFFF"/>
              </w:rPr>
            </w:pPr>
            <w:r>
              <w:rPr>
                <w:rFonts w:ascii="Arial" w:hAnsi="Arial" w:cs="Arial"/>
                <w:b/>
                <w:bCs/>
                <w:shd w:val="clear" w:color="auto" w:fill="FFFFFF"/>
              </w:rPr>
              <w:lastRenderedPageBreak/>
              <w:t>5.</w:t>
            </w:r>
          </w:p>
        </w:tc>
        <w:tc>
          <w:tcPr>
            <w:tcW w:w="1910" w:type="pct"/>
          </w:tcPr>
          <w:p w14:paraId="3AAF8CD8" w14:textId="3CBF12A2" w:rsidR="00291177" w:rsidRDefault="00291177" w:rsidP="001203B3">
            <w:pPr>
              <w:rPr>
                <w:rFonts w:ascii="Arial" w:hAnsi="Arial" w:cs="Arial"/>
                <w:b/>
                <w:bCs/>
                <w:shd w:val="clear" w:color="auto" w:fill="FFFFFF"/>
              </w:rPr>
            </w:pPr>
            <w:r>
              <w:rPr>
                <w:rFonts w:ascii="Arial" w:hAnsi="Arial" w:cs="Arial"/>
                <w:b/>
                <w:bCs/>
                <w:shd w:val="clear" w:color="auto" w:fill="FFFFFF"/>
              </w:rPr>
              <w:t>Requerir información</w:t>
            </w:r>
          </w:p>
          <w:p w14:paraId="5D7FE3E2" w14:textId="77777777" w:rsidR="00291177" w:rsidRDefault="00291177" w:rsidP="001203B3">
            <w:pPr>
              <w:rPr>
                <w:rFonts w:ascii="Arial" w:hAnsi="Arial" w:cs="Arial"/>
                <w:b/>
                <w:bCs/>
                <w:shd w:val="clear" w:color="auto" w:fill="FFFFFF"/>
              </w:rPr>
            </w:pPr>
          </w:p>
          <w:p w14:paraId="1BF1BE1D" w14:textId="3927343E" w:rsidR="00291177" w:rsidRPr="002C0D9D" w:rsidRDefault="00291177" w:rsidP="001203B3">
            <w:pPr>
              <w:rPr>
                <w:rFonts w:ascii="Arial" w:hAnsi="Arial" w:cs="Arial"/>
                <w:shd w:val="clear" w:color="auto" w:fill="FFFFFF"/>
              </w:rPr>
            </w:pPr>
            <w:r>
              <w:rPr>
                <w:rFonts w:ascii="Arial" w:hAnsi="Arial" w:cs="Arial"/>
                <w:shd w:val="clear" w:color="auto" w:fill="FFFFFF"/>
              </w:rPr>
              <w:lastRenderedPageBreak/>
              <w:t>E</w:t>
            </w:r>
            <w:r w:rsidRPr="00D16CDF">
              <w:rPr>
                <w:rFonts w:ascii="Arial" w:hAnsi="Arial" w:cs="Arial"/>
                <w:shd w:val="clear" w:color="auto" w:fill="FFFFFF"/>
              </w:rPr>
              <w:t xml:space="preserve">l profesional asignado realizará el requerimiento </w:t>
            </w:r>
            <w:r>
              <w:rPr>
                <w:rFonts w:ascii="Arial" w:hAnsi="Arial" w:cs="Arial"/>
                <w:shd w:val="clear" w:color="auto" w:fill="FFFFFF"/>
              </w:rPr>
              <w:t xml:space="preserve">de la información faltante </w:t>
            </w:r>
            <w:r w:rsidRPr="00D16CDF">
              <w:rPr>
                <w:rFonts w:ascii="Arial" w:hAnsi="Arial" w:cs="Arial"/>
                <w:shd w:val="clear" w:color="auto" w:fill="FFFFFF"/>
              </w:rPr>
              <w:t>a</w:t>
            </w:r>
            <w:r>
              <w:rPr>
                <w:rFonts w:ascii="Arial" w:hAnsi="Arial" w:cs="Arial"/>
                <w:shd w:val="clear" w:color="auto" w:fill="FFFFFF"/>
              </w:rPr>
              <w:t>l</w:t>
            </w:r>
            <w:r w:rsidRPr="002C0D9D">
              <w:rPr>
                <w:rFonts w:ascii="Arial" w:hAnsi="Arial" w:cs="Arial"/>
                <w:shd w:val="clear" w:color="auto" w:fill="FFFFFF"/>
              </w:rPr>
              <w:t xml:space="preserve"> beneficiario o a su apoderado</w:t>
            </w:r>
            <w:r>
              <w:rPr>
                <w:rFonts w:ascii="Arial" w:hAnsi="Arial" w:cs="Arial"/>
                <w:shd w:val="clear" w:color="auto" w:fill="FFFFFF"/>
              </w:rPr>
              <w:t xml:space="preserve"> </w:t>
            </w:r>
            <w:r w:rsidRPr="002C0D9D">
              <w:rPr>
                <w:rFonts w:ascii="Arial" w:hAnsi="Arial" w:cs="Arial"/>
                <w:shd w:val="clear" w:color="auto" w:fill="FFFFFF"/>
              </w:rPr>
              <w:t>mediante oficio de salida a través del gestor documental y dejará las respectivas constancias.  Entre tanto el beneficiario o su apoderado allegan la información y/o documentación solicitada, el trámite de reconocimiento y pago del crédito judicial quedará suspendido, dejando constancia de ello en el expediente.</w:t>
            </w:r>
          </w:p>
          <w:p w14:paraId="771A4C2A" w14:textId="5D0F0E4E" w:rsidR="00291177" w:rsidRPr="002C0D9D" w:rsidRDefault="00291177" w:rsidP="001203B3">
            <w:pPr>
              <w:rPr>
                <w:rFonts w:ascii="Arial" w:hAnsi="Arial" w:cs="Arial"/>
                <w:b/>
                <w:bCs/>
                <w:shd w:val="clear" w:color="auto" w:fill="FFFFFF"/>
              </w:rPr>
            </w:pPr>
          </w:p>
        </w:tc>
        <w:tc>
          <w:tcPr>
            <w:tcW w:w="1091" w:type="pct"/>
          </w:tcPr>
          <w:p w14:paraId="60613D75" w14:textId="77777777" w:rsidR="00291177" w:rsidRDefault="00291177" w:rsidP="001203B3">
            <w:pPr>
              <w:rPr>
                <w:rFonts w:ascii="Arial" w:hAnsi="Arial" w:cs="Arial"/>
                <w:shd w:val="clear" w:color="auto" w:fill="FFFFFF"/>
              </w:rPr>
            </w:pPr>
          </w:p>
          <w:p w14:paraId="7122BFDD" w14:textId="77777777" w:rsidR="002B1820" w:rsidRDefault="002B1820" w:rsidP="001203B3">
            <w:pPr>
              <w:rPr>
                <w:rFonts w:ascii="Arial" w:hAnsi="Arial" w:cs="Arial"/>
                <w:shd w:val="clear" w:color="auto" w:fill="FFFFFF"/>
              </w:rPr>
            </w:pPr>
          </w:p>
          <w:p w14:paraId="46E8D4BA" w14:textId="254F3E25" w:rsidR="002B1820" w:rsidRPr="002C0D9D" w:rsidRDefault="002B1820" w:rsidP="001203B3">
            <w:pPr>
              <w:rPr>
                <w:rFonts w:ascii="Arial" w:hAnsi="Arial" w:cs="Arial"/>
                <w:shd w:val="clear" w:color="auto" w:fill="FFFFFF"/>
              </w:rPr>
            </w:pPr>
            <w:r w:rsidRPr="002C0D9D">
              <w:rPr>
                <w:rFonts w:ascii="Arial" w:hAnsi="Arial" w:cs="Arial"/>
                <w:shd w:val="clear" w:color="auto" w:fill="FFFFFF"/>
              </w:rPr>
              <w:lastRenderedPageBreak/>
              <w:t>Profesional asignado</w:t>
            </w:r>
            <w:r w:rsidR="00E75B8E">
              <w:rPr>
                <w:rFonts w:ascii="Arial" w:hAnsi="Arial" w:cs="Arial"/>
                <w:shd w:val="clear" w:color="auto" w:fill="FFFFFF"/>
              </w:rPr>
              <w:t xml:space="preserve"> </w:t>
            </w:r>
            <w:r w:rsidR="00E75B8E" w:rsidRPr="002C0D9D">
              <w:rPr>
                <w:rFonts w:ascii="Arial" w:hAnsi="Arial" w:cs="Arial"/>
                <w:shd w:val="clear" w:color="auto" w:fill="FFFFFF"/>
              </w:rPr>
              <w:t>del grupo de defensa judicial</w:t>
            </w:r>
          </w:p>
        </w:tc>
        <w:tc>
          <w:tcPr>
            <w:tcW w:w="1238" w:type="pct"/>
          </w:tcPr>
          <w:p w14:paraId="08FFF50C" w14:textId="77777777" w:rsidR="00291177" w:rsidRDefault="00291177" w:rsidP="001203B3">
            <w:pPr>
              <w:rPr>
                <w:rFonts w:ascii="Arial" w:hAnsi="Arial" w:cs="Arial"/>
                <w:shd w:val="clear" w:color="auto" w:fill="FFFFFF"/>
              </w:rPr>
            </w:pPr>
          </w:p>
          <w:p w14:paraId="6B45B65A" w14:textId="77777777" w:rsidR="002B1820" w:rsidRDefault="002B1820" w:rsidP="001203B3">
            <w:pPr>
              <w:rPr>
                <w:rFonts w:ascii="Arial" w:hAnsi="Arial" w:cs="Arial"/>
                <w:shd w:val="clear" w:color="auto" w:fill="FFFFFF"/>
              </w:rPr>
            </w:pPr>
          </w:p>
          <w:p w14:paraId="6D35CBF1" w14:textId="2EA7E94F" w:rsidR="002B1820" w:rsidRPr="002C0D9D" w:rsidRDefault="002B1820" w:rsidP="001203B3">
            <w:pPr>
              <w:rPr>
                <w:rFonts w:ascii="Arial" w:hAnsi="Arial" w:cs="Arial"/>
                <w:shd w:val="clear" w:color="auto" w:fill="FFFFFF"/>
              </w:rPr>
            </w:pPr>
            <w:r>
              <w:rPr>
                <w:rFonts w:ascii="Arial" w:hAnsi="Arial" w:cs="Arial"/>
                <w:shd w:val="clear" w:color="auto" w:fill="FFFFFF"/>
              </w:rPr>
              <w:lastRenderedPageBreak/>
              <w:t>1</w:t>
            </w:r>
            <w:r w:rsidRPr="002C0D9D">
              <w:rPr>
                <w:rFonts w:ascii="Arial" w:hAnsi="Arial" w:cs="Arial"/>
                <w:shd w:val="clear" w:color="auto" w:fill="FFFFFF"/>
              </w:rPr>
              <w:t xml:space="preserve"> día hábil</w:t>
            </w:r>
          </w:p>
        </w:tc>
        <w:tc>
          <w:tcPr>
            <w:tcW w:w="655" w:type="pct"/>
          </w:tcPr>
          <w:p w14:paraId="7F4BF76B" w14:textId="77777777" w:rsidR="00291177" w:rsidRDefault="00291177" w:rsidP="001203B3">
            <w:pPr>
              <w:rPr>
                <w:rFonts w:ascii="Arial" w:hAnsi="Arial" w:cs="Arial"/>
                <w:shd w:val="clear" w:color="auto" w:fill="FFFFFF"/>
              </w:rPr>
            </w:pPr>
          </w:p>
          <w:p w14:paraId="1203A07B" w14:textId="77777777" w:rsidR="000C7655" w:rsidRDefault="000C7655" w:rsidP="001203B3">
            <w:pPr>
              <w:rPr>
                <w:rFonts w:ascii="Arial" w:hAnsi="Arial" w:cs="Arial"/>
                <w:shd w:val="clear" w:color="auto" w:fill="FFFFFF"/>
              </w:rPr>
            </w:pPr>
          </w:p>
          <w:p w14:paraId="43DDDDBA" w14:textId="1FE1B259" w:rsidR="000C7655" w:rsidRPr="002C0D9D" w:rsidRDefault="000C7655" w:rsidP="001203B3">
            <w:pPr>
              <w:rPr>
                <w:rFonts w:ascii="Arial" w:hAnsi="Arial" w:cs="Arial"/>
                <w:shd w:val="clear" w:color="auto" w:fill="FFFFFF"/>
              </w:rPr>
            </w:pPr>
            <w:r>
              <w:rPr>
                <w:rFonts w:ascii="Arial" w:hAnsi="Arial" w:cs="Arial"/>
                <w:shd w:val="clear" w:color="auto" w:fill="FFFFFF"/>
              </w:rPr>
              <w:lastRenderedPageBreak/>
              <w:t xml:space="preserve">Gestor documental </w:t>
            </w:r>
            <w:r w:rsidR="00332A02">
              <w:rPr>
                <w:rFonts w:ascii="Arial" w:hAnsi="Arial" w:cs="Arial"/>
                <w:shd w:val="clear" w:color="auto" w:fill="FFFFFF"/>
              </w:rPr>
              <w:t>de la entidad</w:t>
            </w:r>
          </w:p>
        </w:tc>
      </w:tr>
      <w:tr w:rsidR="00291177" w:rsidRPr="002C0D9D" w14:paraId="36804FE6" w14:textId="77777777" w:rsidTr="001203B3">
        <w:tc>
          <w:tcPr>
            <w:tcW w:w="106" w:type="pct"/>
          </w:tcPr>
          <w:p w14:paraId="337A599A" w14:textId="44A9448B" w:rsidR="00291177" w:rsidRPr="002C0D9D" w:rsidRDefault="00291177" w:rsidP="001203B3">
            <w:pPr>
              <w:rPr>
                <w:rFonts w:ascii="Arial" w:hAnsi="Arial" w:cs="Arial"/>
                <w:b/>
                <w:bCs/>
                <w:shd w:val="clear" w:color="auto" w:fill="FFFFFF"/>
              </w:rPr>
            </w:pPr>
            <w:r>
              <w:rPr>
                <w:rFonts w:ascii="Arial" w:hAnsi="Arial" w:cs="Arial"/>
                <w:b/>
                <w:bCs/>
                <w:shd w:val="clear" w:color="auto" w:fill="FFFFFF"/>
              </w:rPr>
              <w:lastRenderedPageBreak/>
              <w:t>6.</w:t>
            </w:r>
          </w:p>
        </w:tc>
        <w:tc>
          <w:tcPr>
            <w:tcW w:w="1910" w:type="pct"/>
          </w:tcPr>
          <w:p w14:paraId="49526DE9" w14:textId="20BB3384" w:rsidR="00291177" w:rsidRDefault="00642D68" w:rsidP="001203B3">
            <w:pPr>
              <w:rPr>
                <w:rFonts w:ascii="Arial" w:hAnsi="Arial" w:cs="Arial"/>
                <w:b/>
                <w:bCs/>
                <w:shd w:val="clear" w:color="auto" w:fill="FFFFFF"/>
              </w:rPr>
            </w:pPr>
            <w:r>
              <w:rPr>
                <w:rFonts w:ascii="Arial" w:hAnsi="Arial" w:cs="Arial"/>
                <w:b/>
                <w:bCs/>
                <w:shd w:val="clear" w:color="auto" w:fill="FFFFFF"/>
              </w:rPr>
              <w:t>Revisar y p</w:t>
            </w:r>
            <w:r w:rsidR="00291177" w:rsidRPr="002C0D9D">
              <w:rPr>
                <w:rFonts w:ascii="Arial" w:hAnsi="Arial" w:cs="Arial"/>
                <w:b/>
                <w:bCs/>
                <w:shd w:val="clear" w:color="auto" w:fill="FFFFFF"/>
              </w:rPr>
              <w:t>royectar memorando</w:t>
            </w:r>
          </w:p>
          <w:p w14:paraId="7F48B795" w14:textId="77777777" w:rsidR="0090265E" w:rsidRDefault="0090265E" w:rsidP="001203B3">
            <w:pPr>
              <w:rPr>
                <w:rFonts w:ascii="Arial" w:hAnsi="Arial" w:cs="Arial"/>
                <w:b/>
                <w:bCs/>
                <w:shd w:val="clear" w:color="auto" w:fill="FFFFFF"/>
              </w:rPr>
            </w:pPr>
          </w:p>
          <w:p w14:paraId="0A5492BA" w14:textId="0B1B457F" w:rsidR="00684C1D" w:rsidRDefault="00CD150F" w:rsidP="001203B3">
            <w:pPr>
              <w:rPr>
                <w:rFonts w:ascii="Arial" w:hAnsi="Arial" w:cs="Arial"/>
                <w:shd w:val="clear" w:color="auto" w:fill="FFFFFF"/>
              </w:rPr>
            </w:pPr>
            <w:bookmarkStart w:id="0" w:name="_dx_frag_StartFragment"/>
            <w:bookmarkEnd w:id="0"/>
            <w:r w:rsidRPr="00A736C3">
              <w:rPr>
                <w:rFonts w:ascii="Arial" w:hAnsi="Arial" w:cs="Arial"/>
                <w:shd w:val="clear" w:color="auto" w:fill="FFFFFF"/>
              </w:rPr>
              <w:t xml:space="preserve">El profesional asignado, </w:t>
            </w:r>
            <w:r w:rsidR="001C43BC">
              <w:rPr>
                <w:rFonts w:ascii="Arial" w:hAnsi="Arial" w:cs="Arial"/>
                <w:shd w:val="clear" w:color="auto" w:fill="FFFFFF"/>
              </w:rPr>
              <w:t xml:space="preserve">revisa </w:t>
            </w:r>
            <w:r w:rsidR="004A1300">
              <w:rPr>
                <w:rFonts w:ascii="Arial" w:hAnsi="Arial" w:cs="Arial"/>
                <w:shd w:val="clear" w:color="auto" w:fill="FFFFFF"/>
              </w:rPr>
              <w:t>la</w:t>
            </w:r>
            <w:r w:rsidR="001C43BC">
              <w:rPr>
                <w:rFonts w:ascii="Arial" w:hAnsi="Arial" w:cs="Arial"/>
                <w:shd w:val="clear" w:color="auto" w:fill="FFFFFF"/>
              </w:rPr>
              <w:t xml:space="preserve"> </w:t>
            </w:r>
            <w:r w:rsidR="00642D68">
              <w:rPr>
                <w:rFonts w:ascii="Arial" w:hAnsi="Arial" w:cs="Arial"/>
                <w:shd w:val="clear" w:color="auto" w:fill="FFFFFF"/>
              </w:rPr>
              <w:t>completitud de</w:t>
            </w:r>
            <w:r w:rsidR="00552DF4">
              <w:rPr>
                <w:rFonts w:ascii="Arial" w:hAnsi="Arial" w:cs="Arial"/>
                <w:shd w:val="clear" w:color="auto" w:fill="FFFFFF"/>
              </w:rPr>
              <w:t xml:space="preserve"> </w:t>
            </w:r>
            <w:r w:rsidRPr="00A736C3">
              <w:rPr>
                <w:rFonts w:ascii="Arial" w:hAnsi="Arial" w:cs="Arial"/>
                <w:shd w:val="clear" w:color="auto" w:fill="FFFFFF"/>
              </w:rPr>
              <w:t>la información y en un término de 2 días hábiles, proyecta</w:t>
            </w:r>
            <w:r w:rsidR="00684C1D">
              <w:rPr>
                <w:rFonts w:ascii="Arial" w:hAnsi="Arial" w:cs="Arial"/>
                <w:shd w:val="clear" w:color="auto" w:fill="FFFFFF"/>
              </w:rPr>
              <w:t xml:space="preserve"> el</w:t>
            </w:r>
            <w:r w:rsidRPr="00A736C3">
              <w:rPr>
                <w:rFonts w:ascii="Arial" w:hAnsi="Arial" w:cs="Arial"/>
                <w:shd w:val="clear" w:color="auto" w:fill="FFFFFF"/>
              </w:rPr>
              <w:t xml:space="preserve"> </w:t>
            </w:r>
            <w:r w:rsidR="00EB38DD" w:rsidRPr="00A736C3">
              <w:rPr>
                <w:rFonts w:ascii="Arial" w:hAnsi="Arial" w:cs="Arial"/>
                <w:shd w:val="clear" w:color="auto" w:fill="FFFFFF"/>
              </w:rPr>
              <w:t>memorando</w:t>
            </w:r>
            <w:r w:rsidR="00EB38DD">
              <w:rPr>
                <w:rFonts w:ascii="Arial" w:hAnsi="Arial" w:cs="Arial"/>
                <w:shd w:val="clear" w:color="auto" w:fill="FFFFFF"/>
              </w:rPr>
              <w:t xml:space="preserve"> para</w:t>
            </w:r>
            <w:r w:rsidR="00684C1D">
              <w:rPr>
                <w:rFonts w:ascii="Arial" w:hAnsi="Arial" w:cs="Arial"/>
                <w:shd w:val="clear" w:color="auto" w:fill="FFFFFF"/>
              </w:rPr>
              <w:t xml:space="preserve"> </w:t>
            </w:r>
            <w:r w:rsidR="00183E57">
              <w:rPr>
                <w:rFonts w:ascii="Arial" w:hAnsi="Arial" w:cs="Arial"/>
                <w:shd w:val="clear" w:color="auto" w:fill="FFFFFF"/>
              </w:rPr>
              <w:t>revisión y</w:t>
            </w:r>
            <w:r w:rsidR="0032364E">
              <w:rPr>
                <w:rFonts w:ascii="Arial" w:hAnsi="Arial" w:cs="Arial"/>
                <w:shd w:val="clear" w:color="auto" w:fill="FFFFFF"/>
              </w:rPr>
              <w:t xml:space="preserve"> aprobación </w:t>
            </w:r>
            <w:r w:rsidR="00684C1D">
              <w:rPr>
                <w:rFonts w:ascii="Arial" w:hAnsi="Arial" w:cs="Arial"/>
                <w:shd w:val="clear" w:color="auto" w:fill="FFFFFF"/>
              </w:rPr>
              <w:t xml:space="preserve">del coordinador </w:t>
            </w:r>
            <w:r w:rsidR="0032364E">
              <w:rPr>
                <w:rFonts w:ascii="Arial" w:hAnsi="Arial" w:cs="Arial"/>
                <w:shd w:val="clear" w:color="auto" w:fill="FFFFFF"/>
              </w:rPr>
              <w:t xml:space="preserve">del grupo de </w:t>
            </w:r>
            <w:r w:rsidR="00B20DFA">
              <w:rPr>
                <w:rFonts w:ascii="Arial" w:hAnsi="Arial" w:cs="Arial"/>
                <w:shd w:val="clear" w:color="auto" w:fill="FFFFFF"/>
              </w:rPr>
              <w:t xml:space="preserve">defensa </w:t>
            </w:r>
            <w:r w:rsidR="0032364E">
              <w:rPr>
                <w:rFonts w:ascii="Arial" w:hAnsi="Arial" w:cs="Arial"/>
                <w:shd w:val="clear" w:color="auto" w:fill="FFFFFF"/>
              </w:rPr>
              <w:t>judicial</w:t>
            </w:r>
            <w:r w:rsidR="001E5F70">
              <w:rPr>
                <w:rFonts w:ascii="Arial" w:hAnsi="Arial" w:cs="Arial"/>
                <w:shd w:val="clear" w:color="auto" w:fill="FFFFFF"/>
              </w:rPr>
              <w:t>.</w:t>
            </w:r>
          </w:p>
          <w:p w14:paraId="10E1CED6" w14:textId="11C85EC8" w:rsidR="00291177" w:rsidRPr="002C0D9D" w:rsidRDefault="00291177" w:rsidP="001203B3">
            <w:pPr>
              <w:rPr>
                <w:rFonts w:ascii="Arial" w:hAnsi="Arial" w:cs="Arial"/>
                <w:shd w:val="clear" w:color="auto" w:fill="FFFFFF"/>
              </w:rPr>
            </w:pPr>
          </w:p>
        </w:tc>
        <w:tc>
          <w:tcPr>
            <w:tcW w:w="1091" w:type="pct"/>
          </w:tcPr>
          <w:p w14:paraId="3E4B94FE" w14:textId="77777777" w:rsidR="00291177" w:rsidRPr="002C0D9D" w:rsidRDefault="00291177" w:rsidP="001203B3">
            <w:pPr>
              <w:rPr>
                <w:rFonts w:ascii="Arial" w:hAnsi="Arial" w:cs="Arial"/>
                <w:shd w:val="clear" w:color="auto" w:fill="FFFFFF"/>
              </w:rPr>
            </w:pPr>
          </w:p>
          <w:p w14:paraId="2DE454D4" w14:textId="77777777" w:rsidR="00291177" w:rsidRPr="002C0D9D" w:rsidRDefault="00291177" w:rsidP="001203B3">
            <w:pPr>
              <w:rPr>
                <w:rFonts w:ascii="Arial" w:hAnsi="Arial" w:cs="Arial"/>
                <w:shd w:val="clear" w:color="auto" w:fill="FFFFFF"/>
              </w:rPr>
            </w:pPr>
          </w:p>
          <w:p w14:paraId="41C8AB8D" w14:textId="393DC0C7" w:rsidR="00291177" w:rsidRPr="002C0D9D" w:rsidRDefault="00291177" w:rsidP="001203B3">
            <w:pPr>
              <w:rPr>
                <w:rFonts w:ascii="Arial" w:hAnsi="Arial" w:cs="Arial"/>
                <w:shd w:val="clear" w:color="auto" w:fill="FFFFFF"/>
              </w:rPr>
            </w:pPr>
            <w:r w:rsidRPr="002C0D9D">
              <w:rPr>
                <w:rFonts w:ascii="Arial" w:hAnsi="Arial" w:cs="Arial"/>
                <w:shd w:val="clear" w:color="auto" w:fill="FFFFFF"/>
              </w:rPr>
              <w:t>Profesional asignado</w:t>
            </w:r>
            <w:r w:rsidR="00471851">
              <w:rPr>
                <w:rFonts w:ascii="Arial" w:hAnsi="Arial" w:cs="Arial"/>
                <w:shd w:val="clear" w:color="auto" w:fill="FFFFFF"/>
              </w:rPr>
              <w:t xml:space="preserve"> </w:t>
            </w:r>
            <w:r w:rsidR="00E75B8E" w:rsidRPr="002C0D9D">
              <w:rPr>
                <w:rFonts w:ascii="Arial" w:hAnsi="Arial" w:cs="Arial"/>
                <w:shd w:val="clear" w:color="auto" w:fill="FFFFFF"/>
              </w:rPr>
              <w:t>del grupo de defensa judicial</w:t>
            </w:r>
          </w:p>
        </w:tc>
        <w:tc>
          <w:tcPr>
            <w:tcW w:w="1238" w:type="pct"/>
          </w:tcPr>
          <w:p w14:paraId="5D7A9BC0" w14:textId="77777777" w:rsidR="00291177" w:rsidRPr="002C0D9D" w:rsidRDefault="00291177" w:rsidP="001203B3">
            <w:pPr>
              <w:rPr>
                <w:rFonts w:ascii="Arial" w:hAnsi="Arial" w:cs="Arial"/>
                <w:shd w:val="clear" w:color="auto" w:fill="FFFFFF"/>
              </w:rPr>
            </w:pPr>
          </w:p>
          <w:p w14:paraId="37831207" w14:textId="77777777" w:rsidR="00291177" w:rsidRPr="002C0D9D" w:rsidRDefault="00291177" w:rsidP="001203B3">
            <w:pPr>
              <w:rPr>
                <w:rFonts w:ascii="Arial" w:hAnsi="Arial" w:cs="Arial"/>
                <w:shd w:val="clear" w:color="auto" w:fill="FFFFFF"/>
              </w:rPr>
            </w:pPr>
          </w:p>
          <w:p w14:paraId="4A6A28D2" w14:textId="43B5FBA0" w:rsidR="00291177" w:rsidRPr="002C0D9D" w:rsidRDefault="00291177" w:rsidP="001203B3">
            <w:pPr>
              <w:rPr>
                <w:rFonts w:ascii="Arial" w:hAnsi="Arial" w:cs="Arial"/>
                <w:shd w:val="clear" w:color="auto" w:fill="FFFFFF"/>
              </w:rPr>
            </w:pPr>
            <w:r w:rsidRPr="002C0D9D">
              <w:rPr>
                <w:rFonts w:ascii="Arial" w:hAnsi="Arial" w:cs="Arial"/>
                <w:shd w:val="clear" w:color="auto" w:fill="FFFFFF"/>
              </w:rPr>
              <w:t>2 días hábiles</w:t>
            </w:r>
          </w:p>
        </w:tc>
        <w:tc>
          <w:tcPr>
            <w:tcW w:w="655" w:type="pct"/>
          </w:tcPr>
          <w:p w14:paraId="1828D975" w14:textId="77777777" w:rsidR="00291177" w:rsidRPr="002C0D9D" w:rsidRDefault="00291177" w:rsidP="001203B3">
            <w:pPr>
              <w:rPr>
                <w:rFonts w:ascii="Arial" w:hAnsi="Arial" w:cs="Arial"/>
                <w:shd w:val="clear" w:color="auto" w:fill="FFFFFF"/>
              </w:rPr>
            </w:pPr>
          </w:p>
          <w:p w14:paraId="7B45472F" w14:textId="77777777" w:rsidR="00291177" w:rsidRPr="002C0D9D" w:rsidRDefault="00291177" w:rsidP="001203B3">
            <w:pPr>
              <w:rPr>
                <w:rFonts w:ascii="Arial" w:hAnsi="Arial" w:cs="Arial"/>
                <w:shd w:val="clear" w:color="auto" w:fill="FFFFFF"/>
              </w:rPr>
            </w:pPr>
          </w:p>
          <w:p w14:paraId="65ACF001" w14:textId="4C897D84" w:rsidR="00291177" w:rsidRPr="002C0D9D" w:rsidRDefault="00291177" w:rsidP="001203B3">
            <w:pPr>
              <w:rPr>
                <w:rFonts w:ascii="Arial" w:hAnsi="Arial" w:cs="Arial"/>
                <w:shd w:val="clear" w:color="auto" w:fill="FFFFFF"/>
              </w:rPr>
            </w:pPr>
            <w:r w:rsidRPr="002C0D9D">
              <w:rPr>
                <w:rFonts w:ascii="Arial" w:hAnsi="Arial" w:cs="Arial"/>
                <w:shd w:val="clear" w:color="auto" w:fill="FFFFFF"/>
              </w:rPr>
              <w:t>Gestor documental</w:t>
            </w:r>
            <w:r w:rsidR="00B07756">
              <w:rPr>
                <w:rFonts w:ascii="Arial" w:hAnsi="Arial" w:cs="Arial"/>
                <w:shd w:val="clear" w:color="auto" w:fill="FFFFFF"/>
              </w:rPr>
              <w:t xml:space="preserve"> de la entidad</w:t>
            </w:r>
          </w:p>
        </w:tc>
      </w:tr>
      <w:tr w:rsidR="00291177" w:rsidRPr="002C0D9D" w14:paraId="323BB274" w14:textId="77777777" w:rsidTr="001203B3">
        <w:tc>
          <w:tcPr>
            <w:tcW w:w="106" w:type="pct"/>
            <w:shd w:val="clear" w:color="auto" w:fill="FFC000"/>
          </w:tcPr>
          <w:p w14:paraId="3BAEA9E5" w14:textId="4B3C8293" w:rsidR="00291177" w:rsidRPr="00D10DE8" w:rsidRDefault="00291177" w:rsidP="001203B3">
            <w:pPr>
              <w:rPr>
                <w:rFonts w:ascii="Arial" w:hAnsi="Arial" w:cs="Arial"/>
                <w:b/>
                <w:bCs/>
                <w:shd w:val="clear" w:color="auto" w:fill="FFFFFF"/>
              </w:rPr>
            </w:pPr>
            <w:r>
              <w:rPr>
                <w:rFonts w:ascii="Arial" w:hAnsi="Arial" w:cs="Arial"/>
                <w:b/>
                <w:bCs/>
                <w:shd w:val="clear" w:color="auto" w:fill="FFFFFF"/>
              </w:rPr>
              <w:t>7.</w:t>
            </w:r>
          </w:p>
        </w:tc>
        <w:tc>
          <w:tcPr>
            <w:tcW w:w="1910" w:type="pct"/>
          </w:tcPr>
          <w:p w14:paraId="00989BF4" w14:textId="1506A9D9" w:rsidR="00291177" w:rsidRPr="002C0D9D" w:rsidRDefault="00291177" w:rsidP="001203B3">
            <w:pPr>
              <w:rPr>
                <w:rFonts w:ascii="Arial" w:hAnsi="Arial" w:cs="Arial"/>
                <w:b/>
                <w:bCs/>
                <w:shd w:val="clear" w:color="auto" w:fill="FFFFFF"/>
              </w:rPr>
            </w:pPr>
            <w:r w:rsidRPr="002C0D9D">
              <w:rPr>
                <w:rFonts w:ascii="Arial" w:hAnsi="Arial" w:cs="Arial"/>
                <w:shd w:val="clear" w:color="auto" w:fill="FFFFFF"/>
              </w:rPr>
              <w:t xml:space="preserve">© </w:t>
            </w:r>
            <w:r w:rsidRPr="002C0D9D">
              <w:rPr>
                <w:rFonts w:ascii="Arial" w:hAnsi="Arial" w:cs="Arial"/>
                <w:b/>
                <w:bCs/>
                <w:shd w:val="clear" w:color="auto" w:fill="FFFFFF"/>
              </w:rPr>
              <w:t>Revisar</w:t>
            </w:r>
            <w:r>
              <w:rPr>
                <w:rFonts w:ascii="Arial" w:hAnsi="Arial" w:cs="Arial"/>
                <w:b/>
                <w:bCs/>
                <w:shd w:val="clear" w:color="auto" w:fill="FFFFFF"/>
              </w:rPr>
              <w:t xml:space="preserve"> y </w:t>
            </w:r>
            <w:r w:rsidRPr="002C0D9D">
              <w:rPr>
                <w:rFonts w:ascii="Arial" w:hAnsi="Arial" w:cs="Arial"/>
                <w:b/>
                <w:bCs/>
                <w:shd w:val="clear" w:color="auto" w:fill="FFFFFF"/>
              </w:rPr>
              <w:t xml:space="preserve">aprobar </w:t>
            </w:r>
            <w:r>
              <w:rPr>
                <w:rFonts w:ascii="Arial" w:hAnsi="Arial" w:cs="Arial"/>
                <w:b/>
                <w:bCs/>
                <w:shd w:val="clear" w:color="auto" w:fill="FFFFFF"/>
              </w:rPr>
              <w:t>el p</w:t>
            </w:r>
            <w:r w:rsidRPr="002C0D9D">
              <w:rPr>
                <w:rFonts w:ascii="Arial" w:hAnsi="Arial" w:cs="Arial"/>
                <w:b/>
                <w:bCs/>
                <w:shd w:val="clear" w:color="auto" w:fill="FFFFFF"/>
              </w:rPr>
              <w:t>royecto de memorando</w:t>
            </w:r>
          </w:p>
          <w:p w14:paraId="4397002F" w14:textId="77777777" w:rsidR="00291177" w:rsidRDefault="00291177" w:rsidP="001203B3">
            <w:pPr>
              <w:rPr>
                <w:rFonts w:ascii="Arial" w:hAnsi="Arial" w:cs="Arial"/>
                <w:b/>
                <w:bCs/>
                <w:shd w:val="clear" w:color="auto" w:fill="FFFFFF"/>
              </w:rPr>
            </w:pPr>
          </w:p>
          <w:p w14:paraId="561F72EC" w14:textId="5C28BDC2" w:rsidR="00291177" w:rsidRDefault="00291177" w:rsidP="001203B3">
            <w:pPr>
              <w:rPr>
                <w:rFonts w:ascii="Arial" w:hAnsi="Arial" w:cs="Arial"/>
                <w:shd w:val="clear" w:color="auto" w:fill="FFFFFF"/>
              </w:rPr>
            </w:pPr>
            <w:r w:rsidRPr="002C0D9D">
              <w:rPr>
                <w:rFonts w:ascii="Arial" w:hAnsi="Arial" w:cs="Arial"/>
                <w:shd w:val="clear" w:color="auto" w:fill="FFFFFF"/>
              </w:rPr>
              <w:t xml:space="preserve">El coordinador(a) del grupo de </w:t>
            </w:r>
            <w:r>
              <w:rPr>
                <w:rFonts w:ascii="Arial" w:hAnsi="Arial" w:cs="Arial"/>
                <w:shd w:val="clear" w:color="auto" w:fill="FFFFFF"/>
              </w:rPr>
              <w:t>d</w:t>
            </w:r>
            <w:r w:rsidRPr="002C0D9D">
              <w:rPr>
                <w:rFonts w:ascii="Arial" w:hAnsi="Arial" w:cs="Arial"/>
                <w:shd w:val="clear" w:color="auto" w:fill="FFFFFF"/>
              </w:rPr>
              <w:t xml:space="preserve">efensa </w:t>
            </w:r>
            <w:r>
              <w:rPr>
                <w:rFonts w:ascii="Arial" w:hAnsi="Arial" w:cs="Arial"/>
                <w:shd w:val="clear" w:color="auto" w:fill="FFFFFF"/>
              </w:rPr>
              <w:t>j</w:t>
            </w:r>
            <w:r w:rsidRPr="002C0D9D">
              <w:rPr>
                <w:rFonts w:ascii="Arial" w:hAnsi="Arial" w:cs="Arial"/>
                <w:shd w:val="clear" w:color="auto" w:fill="FFFFFF"/>
              </w:rPr>
              <w:t xml:space="preserve">udicial revisa </w:t>
            </w:r>
            <w:r w:rsidR="0032364E">
              <w:rPr>
                <w:rFonts w:ascii="Arial" w:hAnsi="Arial" w:cs="Arial"/>
                <w:shd w:val="clear" w:color="auto" w:fill="FFFFFF"/>
              </w:rPr>
              <w:t xml:space="preserve">y </w:t>
            </w:r>
            <w:r w:rsidR="00EB38DD">
              <w:rPr>
                <w:rFonts w:ascii="Arial" w:hAnsi="Arial" w:cs="Arial"/>
                <w:shd w:val="clear" w:color="auto" w:fill="FFFFFF"/>
              </w:rPr>
              <w:t xml:space="preserve">aprueba </w:t>
            </w:r>
            <w:r w:rsidR="00EB38DD" w:rsidRPr="002C0D9D">
              <w:rPr>
                <w:rFonts w:ascii="Arial" w:hAnsi="Arial" w:cs="Arial"/>
                <w:shd w:val="clear" w:color="auto" w:fill="FFFFFF"/>
              </w:rPr>
              <w:t>el</w:t>
            </w:r>
            <w:r>
              <w:rPr>
                <w:rFonts w:ascii="Arial" w:hAnsi="Arial" w:cs="Arial"/>
                <w:shd w:val="clear" w:color="auto" w:fill="FFFFFF"/>
              </w:rPr>
              <w:t xml:space="preserve"> proyecto de memorando </w:t>
            </w:r>
            <w:r w:rsidRPr="002C0D9D">
              <w:rPr>
                <w:rFonts w:ascii="Arial" w:hAnsi="Arial" w:cs="Arial"/>
                <w:shd w:val="clear" w:color="auto" w:fill="FFFFFF"/>
              </w:rPr>
              <w:t xml:space="preserve">en máximo un día hábil </w:t>
            </w:r>
            <w:r w:rsidR="00183E57">
              <w:rPr>
                <w:rFonts w:ascii="Arial" w:hAnsi="Arial" w:cs="Arial"/>
                <w:shd w:val="clear" w:color="auto" w:fill="FFFFFF"/>
              </w:rPr>
              <w:t>y lo envía a la Secretaría general.</w:t>
            </w:r>
          </w:p>
          <w:p w14:paraId="3FE02EE2" w14:textId="77777777" w:rsidR="00785AB7" w:rsidRDefault="00785AB7" w:rsidP="001203B3">
            <w:pPr>
              <w:rPr>
                <w:rFonts w:ascii="Arial" w:hAnsi="Arial" w:cs="Arial"/>
                <w:color w:val="FF0000"/>
                <w:shd w:val="clear" w:color="auto" w:fill="FFFFFF"/>
              </w:rPr>
            </w:pPr>
          </w:p>
          <w:p w14:paraId="669BDAE6" w14:textId="2257E6E2" w:rsidR="0090265E" w:rsidRPr="002C0D9D" w:rsidRDefault="00291177" w:rsidP="001203B3">
            <w:pPr>
              <w:rPr>
                <w:rFonts w:ascii="Arial" w:hAnsi="Arial" w:cs="Arial"/>
                <w:shd w:val="clear" w:color="auto" w:fill="FFFFFF"/>
              </w:rPr>
            </w:pPr>
            <w:r>
              <w:rPr>
                <w:rFonts w:ascii="Arial" w:hAnsi="Arial" w:cs="Arial"/>
                <w:shd w:val="clear" w:color="auto" w:fill="FFFFFF"/>
              </w:rPr>
              <w:t xml:space="preserve">De no obtenerse </w:t>
            </w:r>
            <w:r w:rsidR="00183E57">
              <w:rPr>
                <w:rFonts w:ascii="Arial" w:hAnsi="Arial" w:cs="Arial"/>
                <w:shd w:val="clear" w:color="auto" w:fill="FFFFFF"/>
              </w:rPr>
              <w:t>la</w:t>
            </w:r>
            <w:r>
              <w:rPr>
                <w:rFonts w:ascii="Arial" w:hAnsi="Arial" w:cs="Arial"/>
                <w:shd w:val="clear" w:color="auto" w:fill="FFFFFF"/>
              </w:rPr>
              <w:t xml:space="preserve"> </w:t>
            </w:r>
            <w:r w:rsidR="00183E57">
              <w:rPr>
                <w:rFonts w:ascii="Arial" w:hAnsi="Arial" w:cs="Arial"/>
                <w:shd w:val="clear" w:color="auto" w:fill="FFFFFF"/>
              </w:rPr>
              <w:t>aprobación, el</w:t>
            </w:r>
            <w:r>
              <w:rPr>
                <w:rFonts w:ascii="Arial" w:hAnsi="Arial" w:cs="Arial"/>
                <w:shd w:val="clear" w:color="auto" w:fill="FFFFFF"/>
              </w:rPr>
              <w:t xml:space="preserve"> proyecto de memorando se devuelve para </w:t>
            </w:r>
            <w:r w:rsidR="0090265E">
              <w:rPr>
                <w:rFonts w:ascii="Arial" w:hAnsi="Arial" w:cs="Arial"/>
                <w:shd w:val="clear" w:color="auto" w:fill="FFFFFF"/>
              </w:rPr>
              <w:t>ajuste al</w:t>
            </w:r>
            <w:r>
              <w:rPr>
                <w:rFonts w:ascii="Arial" w:hAnsi="Arial" w:cs="Arial"/>
                <w:shd w:val="clear" w:color="auto" w:fill="FFFFFF"/>
              </w:rPr>
              <w:t xml:space="preserve"> </w:t>
            </w:r>
            <w:r>
              <w:rPr>
                <w:rFonts w:ascii="Arial" w:hAnsi="Arial" w:cs="Arial"/>
                <w:shd w:val="clear" w:color="auto" w:fill="FFFFFF"/>
              </w:rPr>
              <w:lastRenderedPageBreak/>
              <w:t>profesional asignado</w:t>
            </w:r>
            <w:r w:rsidR="00C525E6">
              <w:rPr>
                <w:rFonts w:ascii="Arial" w:hAnsi="Arial" w:cs="Arial"/>
                <w:shd w:val="clear" w:color="auto" w:fill="FFFFFF"/>
              </w:rPr>
              <w:t xml:space="preserve"> y </w:t>
            </w:r>
            <w:r w:rsidRPr="001A5040">
              <w:rPr>
                <w:rFonts w:ascii="Arial" w:hAnsi="Arial" w:cs="Arial"/>
                <w:b/>
                <w:bCs/>
                <w:shd w:val="clear" w:color="auto" w:fill="FFFFFF"/>
              </w:rPr>
              <w:t xml:space="preserve">continúa en la actividad </w:t>
            </w:r>
            <w:r w:rsidR="00C525E6">
              <w:rPr>
                <w:rFonts w:ascii="Arial" w:hAnsi="Arial" w:cs="Arial"/>
                <w:b/>
                <w:bCs/>
                <w:shd w:val="clear" w:color="auto" w:fill="FFFFFF"/>
              </w:rPr>
              <w:t>6</w:t>
            </w:r>
            <w:r>
              <w:rPr>
                <w:rFonts w:ascii="Arial" w:hAnsi="Arial" w:cs="Arial"/>
                <w:shd w:val="clear" w:color="auto" w:fill="FFFFFF"/>
              </w:rPr>
              <w:t>.</w:t>
            </w:r>
          </w:p>
          <w:p w14:paraId="57090A37" w14:textId="77777777" w:rsidR="00291177" w:rsidRPr="002C0D9D" w:rsidRDefault="00291177" w:rsidP="001203B3">
            <w:pPr>
              <w:rPr>
                <w:rFonts w:ascii="Arial" w:hAnsi="Arial" w:cs="Arial"/>
                <w:shd w:val="clear" w:color="auto" w:fill="FFFFFF"/>
              </w:rPr>
            </w:pPr>
          </w:p>
        </w:tc>
        <w:tc>
          <w:tcPr>
            <w:tcW w:w="1091" w:type="pct"/>
          </w:tcPr>
          <w:p w14:paraId="54B9DD8E" w14:textId="77777777" w:rsidR="00291177" w:rsidRPr="002C0D9D" w:rsidRDefault="00291177" w:rsidP="001203B3">
            <w:pPr>
              <w:rPr>
                <w:rFonts w:ascii="Arial" w:hAnsi="Arial" w:cs="Arial"/>
                <w:shd w:val="clear" w:color="auto" w:fill="FFFFFF"/>
              </w:rPr>
            </w:pPr>
          </w:p>
          <w:p w14:paraId="27F98F5A" w14:textId="77777777" w:rsidR="00291177" w:rsidRPr="002C0D9D" w:rsidRDefault="00291177" w:rsidP="001203B3">
            <w:pPr>
              <w:rPr>
                <w:rFonts w:ascii="Arial" w:hAnsi="Arial" w:cs="Arial"/>
                <w:shd w:val="clear" w:color="auto" w:fill="FFFFFF"/>
              </w:rPr>
            </w:pPr>
          </w:p>
          <w:p w14:paraId="75B5681C" w14:textId="77777777" w:rsidR="00B07756" w:rsidRDefault="00B07756" w:rsidP="001203B3">
            <w:pPr>
              <w:rPr>
                <w:rFonts w:ascii="Arial" w:hAnsi="Arial" w:cs="Arial"/>
                <w:shd w:val="clear" w:color="auto" w:fill="FFFFFF"/>
              </w:rPr>
            </w:pPr>
          </w:p>
          <w:p w14:paraId="7014A2A3" w14:textId="64ED1116" w:rsidR="00291177" w:rsidRPr="002C0D9D" w:rsidRDefault="00291177" w:rsidP="001203B3">
            <w:pPr>
              <w:rPr>
                <w:rFonts w:ascii="Arial" w:hAnsi="Arial" w:cs="Arial"/>
                <w:shd w:val="clear" w:color="auto" w:fill="FFFFFF"/>
              </w:rPr>
            </w:pPr>
            <w:r w:rsidRPr="002C0D9D">
              <w:rPr>
                <w:rFonts w:ascii="Arial" w:hAnsi="Arial" w:cs="Arial"/>
                <w:shd w:val="clear" w:color="auto" w:fill="FFFFFF"/>
              </w:rPr>
              <w:t>Coordinador(a) del grupo de defensa judicial</w:t>
            </w:r>
          </w:p>
          <w:p w14:paraId="1E7473D9" w14:textId="77777777" w:rsidR="00291177" w:rsidRPr="002C0D9D" w:rsidRDefault="00291177" w:rsidP="001203B3">
            <w:pPr>
              <w:rPr>
                <w:rFonts w:ascii="Arial" w:hAnsi="Arial" w:cs="Arial"/>
                <w:shd w:val="clear" w:color="auto" w:fill="FFFFFF"/>
              </w:rPr>
            </w:pPr>
          </w:p>
          <w:p w14:paraId="60172C46" w14:textId="77777777" w:rsidR="00291177" w:rsidRPr="002C0D9D" w:rsidRDefault="00291177" w:rsidP="001203B3">
            <w:pPr>
              <w:rPr>
                <w:rFonts w:ascii="Arial" w:hAnsi="Arial" w:cs="Arial"/>
                <w:shd w:val="clear" w:color="auto" w:fill="FFFFFF"/>
              </w:rPr>
            </w:pPr>
          </w:p>
          <w:p w14:paraId="10D9D399" w14:textId="3AB2978A" w:rsidR="00291177" w:rsidRPr="002C0D9D" w:rsidRDefault="00291177" w:rsidP="001203B3">
            <w:pPr>
              <w:rPr>
                <w:rFonts w:ascii="Arial" w:hAnsi="Arial" w:cs="Arial"/>
                <w:shd w:val="clear" w:color="auto" w:fill="FFFFFF"/>
              </w:rPr>
            </w:pPr>
          </w:p>
        </w:tc>
        <w:tc>
          <w:tcPr>
            <w:tcW w:w="1238" w:type="pct"/>
          </w:tcPr>
          <w:p w14:paraId="26EB6F5A" w14:textId="77777777" w:rsidR="00291177" w:rsidRPr="002C0D9D" w:rsidRDefault="00291177" w:rsidP="001203B3">
            <w:pPr>
              <w:rPr>
                <w:rFonts w:ascii="Arial" w:hAnsi="Arial" w:cs="Arial"/>
                <w:shd w:val="clear" w:color="auto" w:fill="FFFFFF"/>
              </w:rPr>
            </w:pPr>
          </w:p>
          <w:p w14:paraId="0A809E42" w14:textId="77777777" w:rsidR="00291177" w:rsidRPr="002C0D9D" w:rsidRDefault="00291177" w:rsidP="001203B3">
            <w:pPr>
              <w:rPr>
                <w:rFonts w:ascii="Arial" w:hAnsi="Arial" w:cs="Arial"/>
                <w:shd w:val="clear" w:color="auto" w:fill="FFFFFF"/>
              </w:rPr>
            </w:pPr>
          </w:p>
          <w:p w14:paraId="6B625035" w14:textId="77777777" w:rsidR="00B07756" w:rsidRDefault="00B07756" w:rsidP="001203B3">
            <w:pPr>
              <w:rPr>
                <w:rFonts w:ascii="Arial" w:hAnsi="Arial" w:cs="Arial"/>
                <w:shd w:val="clear" w:color="auto" w:fill="FFFFFF"/>
              </w:rPr>
            </w:pPr>
          </w:p>
          <w:p w14:paraId="0F97527A" w14:textId="4B67E252" w:rsidR="00291177" w:rsidRPr="002C0D9D" w:rsidRDefault="00291177" w:rsidP="001203B3">
            <w:pPr>
              <w:rPr>
                <w:rFonts w:ascii="Arial" w:hAnsi="Arial" w:cs="Arial"/>
                <w:shd w:val="clear" w:color="auto" w:fill="FFFFFF"/>
              </w:rPr>
            </w:pPr>
            <w:r w:rsidRPr="002C0D9D">
              <w:rPr>
                <w:rFonts w:ascii="Arial" w:hAnsi="Arial" w:cs="Arial"/>
                <w:shd w:val="clear" w:color="auto" w:fill="FFFFFF"/>
              </w:rPr>
              <w:t>2 día hábiles</w:t>
            </w:r>
          </w:p>
        </w:tc>
        <w:tc>
          <w:tcPr>
            <w:tcW w:w="655" w:type="pct"/>
          </w:tcPr>
          <w:p w14:paraId="64C08165" w14:textId="77777777" w:rsidR="00291177" w:rsidRPr="002C0D9D" w:rsidRDefault="00291177" w:rsidP="001203B3">
            <w:pPr>
              <w:rPr>
                <w:rFonts w:ascii="Arial" w:hAnsi="Arial" w:cs="Arial"/>
                <w:shd w:val="clear" w:color="auto" w:fill="FFFFFF"/>
              </w:rPr>
            </w:pPr>
          </w:p>
          <w:p w14:paraId="165250DC" w14:textId="77777777" w:rsidR="00291177" w:rsidRPr="002C0D9D" w:rsidRDefault="00291177" w:rsidP="001203B3">
            <w:pPr>
              <w:rPr>
                <w:rFonts w:ascii="Arial" w:hAnsi="Arial" w:cs="Arial"/>
                <w:shd w:val="clear" w:color="auto" w:fill="FFFFFF"/>
              </w:rPr>
            </w:pPr>
          </w:p>
          <w:p w14:paraId="21CC6252" w14:textId="77777777" w:rsidR="00B07756" w:rsidRDefault="00B07756" w:rsidP="001203B3">
            <w:pPr>
              <w:rPr>
                <w:rFonts w:ascii="Arial" w:hAnsi="Arial" w:cs="Arial"/>
                <w:shd w:val="clear" w:color="auto" w:fill="FFFFFF"/>
              </w:rPr>
            </w:pPr>
          </w:p>
          <w:p w14:paraId="3B43C725" w14:textId="35ABFB17" w:rsidR="00291177" w:rsidRPr="002C0D9D" w:rsidRDefault="00291177" w:rsidP="001203B3">
            <w:pPr>
              <w:rPr>
                <w:rFonts w:ascii="Arial" w:hAnsi="Arial" w:cs="Arial"/>
                <w:shd w:val="clear" w:color="auto" w:fill="FFFFFF"/>
              </w:rPr>
            </w:pPr>
            <w:r w:rsidRPr="002C0D9D">
              <w:rPr>
                <w:rFonts w:ascii="Arial" w:hAnsi="Arial" w:cs="Arial"/>
                <w:shd w:val="clear" w:color="auto" w:fill="FFFFFF"/>
              </w:rPr>
              <w:t>Gestor documental</w:t>
            </w:r>
            <w:r w:rsidR="00B07756">
              <w:rPr>
                <w:rFonts w:ascii="Arial" w:hAnsi="Arial" w:cs="Arial"/>
                <w:shd w:val="clear" w:color="auto" w:fill="FFFFFF"/>
              </w:rPr>
              <w:t xml:space="preserve"> de la entidad</w:t>
            </w:r>
          </w:p>
        </w:tc>
      </w:tr>
      <w:tr w:rsidR="00291177" w:rsidRPr="002C0D9D" w14:paraId="6BBFBB91" w14:textId="77777777" w:rsidTr="001203B3">
        <w:tc>
          <w:tcPr>
            <w:tcW w:w="106" w:type="pct"/>
          </w:tcPr>
          <w:p w14:paraId="2E1ADB30" w14:textId="06D2D67E" w:rsidR="00291177" w:rsidRPr="002C0D9D" w:rsidRDefault="00291177" w:rsidP="001203B3">
            <w:pPr>
              <w:rPr>
                <w:rFonts w:ascii="Arial" w:hAnsi="Arial" w:cs="Arial"/>
                <w:b/>
                <w:bCs/>
                <w:shd w:val="clear" w:color="auto" w:fill="FFFFFF"/>
              </w:rPr>
            </w:pPr>
            <w:r>
              <w:rPr>
                <w:rFonts w:ascii="Arial" w:hAnsi="Arial" w:cs="Arial"/>
                <w:b/>
                <w:bCs/>
                <w:shd w:val="clear" w:color="auto" w:fill="FFFFFF"/>
              </w:rPr>
              <w:t>8.</w:t>
            </w:r>
          </w:p>
        </w:tc>
        <w:tc>
          <w:tcPr>
            <w:tcW w:w="1910" w:type="pct"/>
          </w:tcPr>
          <w:p w14:paraId="104AFE0B" w14:textId="37DC64E9" w:rsidR="00291177" w:rsidRPr="002C0D9D" w:rsidRDefault="00920168" w:rsidP="001203B3">
            <w:pPr>
              <w:rPr>
                <w:rFonts w:ascii="Arial" w:hAnsi="Arial" w:cs="Arial"/>
                <w:b/>
                <w:bCs/>
                <w:shd w:val="clear" w:color="auto" w:fill="FFFFFF"/>
              </w:rPr>
            </w:pPr>
            <w:r>
              <w:rPr>
                <w:rFonts w:ascii="Arial" w:hAnsi="Arial" w:cs="Arial"/>
                <w:b/>
                <w:bCs/>
                <w:shd w:val="clear" w:color="auto" w:fill="FFFFFF"/>
              </w:rPr>
              <w:t>Continua</w:t>
            </w:r>
            <w:r w:rsidR="00291177" w:rsidRPr="002C0D9D">
              <w:rPr>
                <w:rFonts w:ascii="Arial" w:hAnsi="Arial" w:cs="Arial"/>
                <w:b/>
                <w:bCs/>
                <w:shd w:val="clear" w:color="auto" w:fill="FFFFFF"/>
              </w:rPr>
              <w:t xml:space="preserve"> con el proceso de Gestión Financiera, </w:t>
            </w:r>
            <w:r w:rsidR="002F6612" w:rsidRPr="002F6612">
              <w:rPr>
                <w:rFonts w:ascii="Arial" w:hAnsi="Arial" w:cs="Arial"/>
                <w:b/>
                <w:bCs/>
                <w:shd w:val="clear" w:color="auto" w:fill="FFFFFF"/>
              </w:rPr>
              <w:t>procedimiento pago de providencia</w:t>
            </w:r>
            <w:r>
              <w:rPr>
                <w:rFonts w:ascii="Arial" w:hAnsi="Arial" w:cs="Arial"/>
                <w:b/>
                <w:bCs/>
                <w:shd w:val="clear" w:color="auto" w:fill="FFFFFF"/>
              </w:rPr>
              <w:t>s</w:t>
            </w:r>
            <w:r w:rsidR="002F6612" w:rsidRPr="002F6612">
              <w:rPr>
                <w:rFonts w:ascii="Arial" w:hAnsi="Arial" w:cs="Arial"/>
                <w:b/>
                <w:bCs/>
                <w:shd w:val="clear" w:color="auto" w:fill="FFFFFF"/>
              </w:rPr>
              <w:t xml:space="preserve"> judiciales, conciliaciones y laudos arbitrales de carácter económico</w:t>
            </w:r>
            <w:r w:rsidR="002F6612">
              <w:rPr>
                <w:rFonts w:ascii="Arial" w:hAnsi="Arial" w:cs="Arial"/>
                <w:b/>
                <w:bCs/>
                <w:shd w:val="clear" w:color="auto" w:fill="FFFFFF"/>
              </w:rPr>
              <w:t>.</w:t>
            </w:r>
          </w:p>
          <w:p w14:paraId="7D005CE3" w14:textId="45598F29" w:rsidR="00291177" w:rsidRPr="002C0D9D" w:rsidRDefault="00291177" w:rsidP="001203B3">
            <w:pPr>
              <w:rPr>
                <w:rFonts w:ascii="Arial" w:hAnsi="Arial" w:cs="Arial"/>
                <w:b/>
                <w:bCs/>
                <w:shd w:val="clear" w:color="auto" w:fill="FFFFFF"/>
              </w:rPr>
            </w:pPr>
            <w:r w:rsidRPr="002C0D9D">
              <w:rPr>
                <w:rFonts w:ascii="Arial" w:hAnsi="Arial" w:cs="Arial"/>
                <w:b/>
                <w:bCs/>
                <w:shd w:val="clear" w:color="auto" w:fill="FFFFFF"/>
              </w:rPr>
              <w:t xml:space="preserve">Fin </w:t>
            </w:r>
          </w:p>
        </w:tc>
        <w:tc>
          <w:tcPr>
            <w:tcW w:w="1091" w:type="pct"/>
          </w:tcPr>
          <w:p w14:paraId="11F8668E" w14:textId="77777777" w:rsidR="00291177" w:rsidRPr="002C0D9D" w:rsidRDefault="00291177" w:rsidP="001203B3">
            <w:pPr>
              <w:rPr>
                <w:rFonts w:ascii="Arial" w:hAnsi="Arial" w:cs="Arial"/>
                <w:shd w:val="clear" w:color="auto" w:fill="FFFFFF"/>
              </w:rPr>
            </w:pPr>
          </w:p>
        </w:tc>
        <w:tc>
          <w:tcPr>
            <w:tcW w:w="1238" w:type="pct"/>
          </w:tcPr>
          <w:p w14:paraId="01831342" w14:textId="77777777" w:rsidR="00291177" w:rsidRPr="002C0D9D" w:rsidRDefault="00291177" w:rsidP="001203B3">
            <w:pPr>
              <w:rPr>
                <w:rFonts w:ascii="Arial" w:hAnsi="Arial" w:cs="Arial"/>
                <w:shd w:val="clear" w:color="auto" w:fill="FFFFFF"/>
              </w:rPr>
            </w:pPr>
          </w:p>
        </w:tc>
        <w:tc>
          <w:tcPr>
            <w:tcW w:w="655" w:type="pct"/>
          </w:tcPr>
          <w:p w14:paraId="1C866AE6" w14:textId="77777777" w:rsidR="00291177" w:rsidRPr="002C0D9D" w:rsidRDefault="00291177" w:rsidP="001203B3">
            <w:pPr>
              <w:rPr>
                <w:rFonts w:ascii="Arial" w:hAnsi="Arial" w:cs="Arial"/>
                <w:shd w:val="clear" w:color="auto" w:fill="FFFFFF"/>
              </w:rPr>
            </w:pPr>
          </w:p>
        </w:tc>
      </w:tr>
    </w:tbl>
    <w:p w14:paraId="0F752872" w14:textId="0A61168F" w:rsidR="00AF7D06" w:rsidRPr="005B684F" w:rsidRDefault="001203B3" w:rsidP="00F23750">
      <w:pPr>
        <w:spacing w:after="0" w:line="360" w:lineRule="auto"/>
        <w:rPr>
          <w:rFonts w:ascii="Arial" w:hAnsi="Arial" w:cs="Arial"/>
          <w:sz w:val="24"/>
          <w:szCs w:val="24"/>
          <w:shd w:val="clear" w:color="auto" w:fill="FFFFFF"/>
        </w:rPr>
      </w:pPr>
      <w:r>
        <w:rPr>
          <w:rFonts w:ascii="Arial" w:hAnsi="Arial" w:cs="Arial"/>
          <w:sz w:val="24"/>
          <w:szCs w:val="24"/>
          <w:shd w:val="clear" w:color="auto" w:fill="FFFFFF"/>
        </w:rPr>
        <w:br w:type="textWrapping" w:clear="all"/>
      </w:r>
    </w:p>
    <w:p w14:paraId="7B86A5BA" w14:textId="77777777" w:rsidR="00781A83" w:rsidRPr="005B684F" w:rsidRDefault="00781A83" w:rsidP="00F23750">
      <w:pPr>
        <w:spacing w:after="0" w:line="360" w:lineRule="auto"/>
        <w:rPr>
          <w:rFonts w:ascii="Arial" w:eastAsiaTheme="majorEastAsia" w:hAnsi="Arial" w:cs="Arial"/>
          <w:b/>
          <w:bCs/>
          <w:shd w:val="clear" w:color="auto" w:fill="FFFFFF"/>
        </w:rPr>
      </w:pPr>
      <w:r w:rsidRPr="005B684F">
        <w:rPr>
          <w:rFonts w:ascii="Arial" w:eastAsiaTheme="majorEastAsia" w:hAnsi="Arial" w:cs="Arial"/>
          <w:b/>
          <w:bCs/>
          <w:shd w:val="clear" w:color="auto" w:fill="FFFFFF"/>
        </w:rPr>
        <w:t xml:space="preserve">ANEXOS </w:t>
      </w:r>
    </w:p>
    <w:p w14:paraId="5F7128D1" w14:textId="6E282062" w:rsidR="00781A83" w:rsidRDefault="00781A83" w:rsidP="00F23750">
      <w:pPr>
        <w:spacing w:after="0" w:line="360" w:lineRule="auto"/>
        <w:rPr>
          <w:rFonts w:ascii="Arial" w:hAnsi="Arial" w:cs="Arial"/>
          <w:sz w:val="24"/>
          <w:szCs w:val="24"/>
          <w:shd w:val="clear" w:color="auto" w:fill="FFFFFF"/>
        </w:rPr>
      </w:pPr>
      <w:r w:rsidRPr="005B684F">
        <w:rPr>
          <w:rFonts w:ascii="Arial" w:hAnsi="Arial" w:cs="Arial"/>
          <w:sz w:val="24"/>
          <w:szCs w:val="24"/>
          <w:shd w:val="clear" w:color="auto" w:fill="FFFFFF"/>
        </w:rPr>
        <w:t>(</w:t>
      </w:r>
      <w:r w:rsidR="004C5BBC">
        <w:rPr>
          <w:rFonts w:ascii="Arial" w:hAnsi="Arial" w:cs="Arial"/>
          <w:sz w:val="24"/>
          <w:szCs w:val="24"/>
          <w:shd w:val="clear" w:color="auto" w:fill="FFFFFF"/>
        </w:rPr>
        <w:t>N/A</w:t>
      </w:r>
      <w:r w:rsidRPr="005B684F">
        <w:rPr>
          <w:rFonts w:ascii="Arial" w:hAnsi="Arial" w:cs="Arial"/>
          <w:sz w:val="24"/>
          <w:szCs w:val="24"/>
          <w:shd w:val="clear" w:color="auto" w:fill="FFFFFF"/>
        </w:rPr>
        <w:t>)</w:t>
      </w:r>
    </w:p>
    <w:p w14:paraId="1967BC87" w14:textId="3BB83BB8" w:rsidR="00B47F45" w:rsidRDefault="00B47F45">
      <w:pPr>
        <w:rPr>
          <w:rFonts w:ascii="Arial" w:hAnsi="Arial" w:cs="Arial"/>
          <w:sz w:val="24"/>
          <w:szCs w:val="24"/>
          <w:shd w:val="clear" w:color="auto" w:fill="FFFFFF"/>
        </w:rPr>
      </w:pPr>
      <w:r>
        <w:rPr>
          <w:rFonts w:ascii="Arial" w:hAnsi="Arial" w:cs="Arial"/>
          <w:sz w:val="24"/>
          <w:szCs w:val="24"/>
          <w:shd w:val="clear" w:color="auto" w:fill="FFFFFF"/>
        </w:rPr>
        <w:br w:type="page"/>
      </w:r>
    </w:p>
    <w:p w14:paraId="6497B739" w14:textId="77777777" w:rsidR="004E73ED" w:rsidRPr="005B684F" w:rsidRDefault="004E73ED" w:rsidP="00F23750">
      <w:pPr>
        <w:spacing w:after="0" w:line="360" w:lineRule="auto"/>
        <w:rPr>
          <w:rFonts w:ascii="Arial" w:hAnsi="Arial" w:cs="Arial"/>
          <w:shd w:val="clear" w:color="auto" w:fill="FFFFFF"/>
        </w:rPr>
      </w:pPr>
    </w:p>
    <w:tbl>
      <w:tblPr>
        <w:tblStyle w:val="Tablaconcuadrcula"/>
        <w:tblW w:w="12883" w:type="dxa"/>
        <w:tblLook w:val="04A0" w:firstRow="1" w:lastRow="0" w:firstColumn="1" w:lastColumn="0" w:noHBand="0" w:noVBand="1"/>
      </w:tblPr>
      <w:tblGrid>
        <w:gridCol w:w="1536"/>
        <w:gridCol w:w="2287"/>
        <w:gridCol w:w="2009"/>
        <w:gridCol w:w="3094"/>
        <w:gridCol w:w="1275"/>
        <w:gridCol w:w="2682"/>
      </w:tblGrid>
      <w:tr w:rsidR="005B684F" w:rsidRPr="005B684F" w14:paraId="04E27948" w14:textId="77777777" w:rsidTr="007F31BC">
        <w:trPr>
          <w:trHeight w:val="307"/>
        </w:trPr>
        <w:tc>
          <w:tcPr>
            <w:tcW w:w="12883" w:type="dxa"/>
            <w:gridSpan w:val="6"/>
            <w:shd w:val="clear" w:color="auto" w:fill="33CCCC"/>
            <w:vAlign w:val="bottom"/>
          </w:tcPr>
          <w:p w14:paraId="746FECF5" w14:textId="77777777" w:rsidR="00862357" w:rsidRPr="005B684F" w:rsidRDefault="00862357">
            <w:pPr>
              <w:jc w:val="center"/>
              <w:rPr>
                <w:rFonts w:ascii="Arial" w:hAnsi="Arial" w:cs="Arial"/>
                <w:b/>
                <w:bCs/>
              </w:rPr>
            </w:pPr>
            <w:r w:rsidRPr="005B684F">
              <w:rPr>
                <w:rFonts w:ascii="Arial" w:hAnsi="Arial" w:cs="Arial"/>
                <w:b/>
                <w:bCs/>
              </w:rPr>
              <w:t>Control de cambios</w:t>
            </w:r>
          </w:p>
        </w:tc>
      </w:tr>
      <w:tr w:rsidR="005B684F" w:rsidRPr="005B684F" w14:paraId="6F9F6DAE" w14:textId="77777777" w:rsidTr="004115D7">
        <w:trPr>
          <w:trHeight w:val="313"/>
        </w:trPr>
        <w:tc>
          <w:tcPr>
            <w:tcW w:w="1536" w:type="dxa"/>
            <w:shd w:val="clear" w:color="auto" w:fill="33CCCC"/>
            <w:vAlign w:val="bottom"/>
          </w:tcPr>
          <w:p w14:paraId="7064EAB1" w14:textId="3353B60B" w:rsidR="00BC3926" w:rsidRPr="005B684F" w:rsidRDefault="00BC3926" w:rsidP="00BC3926">
            <w:pPr>
              <w:rPr>
                <w:rFonts w:ascii="Arial" w:hAnsi="Arial" w:cs="Arial"/>
                <w:b/>
                <w:bCs/>
              </w:rPr>
            </w:pPr>
            <w:r w:rsidRPr="005B684F">
              <w:rPr>
                <w:rFonts w:ascii="Arial" w:hAnsi="Arial" w:cs="Arial"/>
                <w:b/>
                <w:bCs/>
              </w:rPr>
              <w:t>Versión</w:t>
            </w:r>
          </w:p>
        </w:tc>
        <w:tc>
          <w:tcPr>
            <w:tcW w:w="2287" w:type="dxa"/>
            <w:shd w:val="clear" w:color="auto" w:fill="33CCCC"/>
            <w:vAlign w:val="bottom"/>
          </w:tcPr>
          <w:p w14:paraId="6A8C6C8D" w14:textId="2BC5EF50" w:rsidR="00BC3926" w:rsidRPr="005B684F" w:rsidRDefault="00BC3926" w:rsidP="00BC3926">
            <w:pPr>
              <w:rPr>
                <w:rFonts w:ascii="Arial" w:hAnsi="Arial" w:cs="Arial"/>
                <w:b/>
                <w:bCs/>
              </w:rPr>
            </w:pPr>
            <w:r w:rsidRPr="005B684F">
              <w:rPr>
                <w:rFonts w:ascii="Arial" w:hAnsi="Arial" w:cs="Arial"/>
                <w:b/>
                <w:bCs/>
              </w:rPr>
              <w:t>Fecha</w:t>
            </w:r>
          </w:p>
        </w:tc>
        <w:tc>
          <w:tcPr>
            <w:tcW w:w="9060" w:type="dxa"/>
            <w:gridSpan w:val="4"/>
            <w:shd w:val="clear" w:color="auto" w:fill="33CCCC"/>
            <w:vAlign w:val="bottom"/>
          </w:tcPr>
          <w:p w14:paraId="282D5EED" w14:textId="0DD8DACA" w:rsidR="00BC3926" w:rsidRPr="005B684F" w:rsidRDefault="00BC3926" w:rsidP="00BC3926">
            <w:pPr>
              <w:rPr>
                <w:rFonts w:ascii="Arial" w:hAnsi="Arial" w:cs="Arial"/>
                <w:b/>
                <w:bCs/>
              </w:rPr>
            </w:pPr>
            <w:r w:rsidRPr="005B684F">
              <w:rPr>
                <w:rFonts w:ascii="Arial" w:hAnsi="Arial" w:cs="Arial"/>
                <w:b/>
                <w:bCs/>
              </w:rPr>
              <w:t>Descripción de los cambios</w:t>
            </w:r>
          </w:p>
        </w:tc>
      </w:tr>
      <w:tr w:rsidR="005B684F" w:rsidRPr="005B684F" w14:paraId="56F3B4E9" w14:textId="77777777" w:rsidTr="00D52818">
        <w:trPr>
          <w:trHeight w:val="313"/>
        </w:trPr>
        <w:tc>
          <w:tcPr>
            <w:tcW w:w="1536" w:type="dxa"/>
            <w:vAlign w:val="center"/>
          </w:tcPr>
          <w:p w14:paraId="235122F0" w14:textId="7058007F" w:rsidR="00BC3926" w:rsidRPr="009464C7" w:rsidRDefault="00C53974" w:rsidP="00D52818">
            <w:pPr>
              <w:rPr>
                <w:rFonts w:ascii="Arial" w:hAnsi="Arial" w:cs="Arial"/>
              </w:rPr>
            </w:pPr>
            <w:r w:rsidRPr="009464C7">
              <w:rPr>
                <w:rFonts w:ascii="Arial" w:hAnsi="Arial" w:cs="Arial"/>
              </w:rPr>
              <w:t>1</w:t>
            </w:r>
          </w:p>
        </w:tc>
        <w:tc>
          <w:tcPr>
            <w:tcW w:w="2287" w:type="dxa"/>
            <w:vAlign w:val="center"/>
          </w:tcPr>
          <w:p w14:paraId="7AB60B2E" w14:textId="19283EE3" w:rsidR="00BC3926" w:rsidRPr="005B684F" w:rsidRDefault="00F20354" w:rsidP="00D52818">
            <w:pPr>
              <w:rPr>
                <w:rFonts w:ascii="Arial" w:hAnsi="Arial" w:cs="Arial"/>
                <w:b/>
                <w:bCs/>
              </w:rPr>
            </w:pPr>
            <w:r>
              <w:rPr>
                <w:rFonts w:ascii="Arial" w:hAnsi="Arial" w:cs="Arial"/>
              </w:rPr>
              <w:t>31</w:t>
            </w:r>
            <w:r w:rsidR="008953D7">
              <w:rPr>
                <w:rFonts w:ascii="Arial" w:hAnsi="Arial" w:cs="Arial"/>
              </w:rPr>
              <w:t>/03/2026</w:t>
            </w:r>
          </w:p>
        </w:tc>
        <w:tc>
          <w:tcPr>
            <w:tcW w:w="9060" w:type="dxa"/>
            <w:gridSpan w:val="4"/>
            <w:vAlign w:val="bottom"/>
          </w:tcPr>
          <w:p w14:paraId="219DFA43" w14:textId="77777777" w:rsidR="003350F7" w:rsidRPr="002F2EFC" w:rsidRDefault="003350F7" w:rsidP="003350F7">
            <w:pPr>
              <w:spacing w:line="288" w:lineRule="atLeast"/>
              <w:textAlignment w:val="baseline"/>
              <w:rPr>
                <w:rFonts w:ascii="Arial" w:hAnsi="Arial" w:cs="Arial"/>
              </w:rPr>
            </w:pPr>
            <w:r w:rsidRPr="002F2EFC">
              <w:rPr>
                <w:rFonts w:ascii="Arial" w:hAnsi="Arial" w:cs="Arial"/>
              </w:rPr>
              <w:t>Se actualiza el encabezado del documento de acuerdo con el nuevo Mapa de Procesos de la Superintendencia Nacional de Salud, actualizando el nombre del proceso, el código y la versión, la cual por cargue inicial en la aplicación tecnológica reinicia desde la versión 1. Adicionalmente, se suprime la codificación de los formatos y otros documentos enunciados conservando únicamente el nombre. </w:t>
            </w:r>
          </w:p>
          <w:p w14:paraId="44968EFE" w14:textId="77777777" w:rsidR="003350F7" w:rsidRPr="002F2EFC" w:rsidRDefault="003350F7" w:rsidP="003350F7">
            <w:pPr>
              <w:spacing w:line="288" w:lineRule="atLeast"/>
              <w:textAlignment w:val="baseline"/>
              <w:rPr>
                <w:rFonts w:ascii="Arial" w:hAnsi="Arial" w:cs="Arial"/>
              </w:rPr>
            </w:pPr>
            <w:r w:rsidRPr="002F2EFC">
              <w:rPr>
                <w:rFonts w:ascii="Arial" w:hAnsi="Arial" w:cs="Arial"/>
              </w:rPr>
              <w:t> </w:t>
            </w:r>
          </w:p>
          <w:p w14:paraId="34D7D42E" w14:textId="5EF87805" w:rsidR="00BC3926" w:rsidRPr="002F2EFC" w:rsidRDefault="003350F7" w:rsidP="003350F7">
            <w:pPr>
              <w:rPr>
                <w:rFonts w:ascii="Arial" w:hAnsi="Arial" w:cs="Arial"/>
              </w:rPr>
            </w:pPr>
            <w:r w:rsidRPr="002F2EFC">
              <w:rPr>
                <w:rFonts w:ascii="Arial" w:hAnsi="Arial" w:cs="Arial"/>
              </w:rPr>
              <w:t>La consulta de la armonización documental en el marco del nuevo mapa de procesos y las versiones obsoletas de los documentos se encuentran bajo custodia de la Subdirección de tecnologías de la información de acuerdo con lo solicitado por la Oficina asesora de planeación mediante radicado 20251200200131673. </w:t>
            </w:r>
          </w:p>
        </w:tc>
      </w:tr>
      <w:tr w:rsidR="005B684F" w:rsidRPr="005B684F" w14:paraId="4B989499" w14:textId="77777777" w:rsidTr="004115D7">
        <w:trPr>
          <w:trHeight w:val="313"/>
        </w:trPr>
        <w:tc>
          <w:tcPr>
            <w:tcW w:w="3823" w:type="dxa"/>
            <w:gridSpan w:val="2"/>
            <w:shd w:val="clear" w:color="auto" w:fill="33CCCC"/>
            <w:vAlign w:val="bottom"/>
          </w:tcPr>
          <w:p w14:paraId="7F535F72" w14:textId="77777777" w:rsidR="00BC3926" w:rsidRPr="005B684F" w:rsidRDefault="00BC3926" w:rsidP="00BC3926">
            <w:pPr>
              <w:rPr>
                <w:rFonts w:ascii="Arial" w:hAnsi="Arial" w:cs="Arial"/>
                <w:b/>
                <w:bCs/>
              </w:rPr>
            </w:pPr>
            <w:r w:rsidRPr="005B684F">
              <w:rPr>
                <w:rFonts w:ascii="Arial" w:hAnsi="Arial" w:cs="Arial"/>
                <w:b/>
                <w:bCs/>
              </w:rPr>
              <w:t>Elaboró</w:t>
            </w:r>
          </w:p>
        </w:tc>
        <w:tc>
          <w:tcPr>
            <w:tcW w:w="5103" w:type="dxa"/>
            <w:gridSpan w:val="2"/>
            <w:shd w:val="clear" w:color="auto" w:fill="33CCCC"/>
            <w:vAlign w:val="bottom"/>
          </w:tcPr>
          <w:p w14:paraId="3C81A3A2" w14:textId="77777777" w:rsidR="00BC3926" w:rsidRPr="005B684F" w:rsidRDefault="00BC3926" w:rsidP="00BC3926">
            <w:pPr>
              <w:rPr>
                <w:rFonts w:ascii="Arial" w:hAnsi="Arial" w:cs="Arial"/>
                <w:b/>
                <w:bCs/>
              </w:rPr>
            </w:pPr>
            <w:r w:rsidRPr="005B684F">
              <w:rPr>
                <w:rFonts w:ascii="Arial" w:hAnsi="Arial" w:cs="Arial"/>
                <w:b/>
                <w:bCs/>
              </w:rPr>
              <w:t>Revisó</w:t>
            </w:r>
          </w:p>
        </w:tc>
        <w:tc>
          <w:tcPr>
            <w:tcW w:w="3957" w:type="dxa"/>
            <w:gridSpan w:val="2"/>
            <w:shd w:val="clear" w:color="auto" w:fill="33CCCC"/>
            <w:vAlign w:val="bottom"/>
          </w:tcPr>
          <w:p w14:paraId="546F4435" w14:textId="77777777" w:rsidR="00BC3926" w:rsidRPr="005B684F" w:rsidRDefault="00BC3926" w:rsidP="00BC3926">
            <w:pPr>
              <w:rPr>
                <w:rFonts w:ascii="Arial" w:hAnsi="Arial" w:cs="Arial"/>
                <w:b/>
                <w:bCs/>
              </w:rPr>
            </w:pPr>
            <w:r w:rsidRPr="005B684F">
              <w:rPr>
                <w:rFonts w:ascii="Arial" w:hAnsi="Arial" w:cs="Arial"/>
                <w:b/>
                <w:bCs/>
              </w:rPr>
              <w:t>Aprobó</w:t>
            </w:r>
          </w:p>
        </w:tc>
      </w:tr>
      <w:tr w:rsidR="002F2EFC" w:rsidRPr="005B684F" w14:paraId="273DDF4F" w14:textId="77777777" w:rsidTr="004115D7">
        <w:trPr>
          <w:trHeight w:val="332"/>
        </w:trPr>
        <w:tc>
          <w:tcPr>
            <w:tcW w:w="1536" w:type="dxa"/>
            <w:vAlign w:val="center"/>
          </w:tcPr>
          <w:p w14:paraId="37898846" w14:textId="77777777" w:rsidR="002F2EFC" w:rsidRPr="005B684F" w:rsidRDefault="002F2EFC" w:rsidP="002F2EFC">
            <w:pPr>
              <w:rPr>
                <w:rFonts w:ascii="Arial" w:hAnsi="Arial" w:cs="Arial"/>
                <w:b/>
                <w:bCs/>
              </w:rPr>
            </w:pPr>
            <w:r w:rsidRPr="005B684F">
              <w:rPr>
                <w:rFonts w:ascii="Arial" w:hAnsi="Arial" w:cs="Arial"/>
                <w:b/>
                <w:bCs/>
              </w:rPr>
              <w:t>Nombre</w:t>
            </w:r>
          </w:p>
        </w:tc>
        <w:tc>
          <w:tcPr>
            <w:tcW w:w="2287" w:type="dxa"/>
            <w:vMerge w:val="restart"/>
            <w:vAlign w:val="center"/>
          </w:tcPr>
          <w:p w14:paraId="109416FE" w14:textId="25A79FB8" w:rsidR="002F2EFC" w:rsidRPr="002F2EFC" w:rsidRDefault="002F2EFC" w:rsidP="002F2EFC">
            <w:pPr>
              <w:spacing w:line="288" w:lineRule="atLeast"/>
              <w:textAlignment w:val="baseline"/>
              <w:rPr>
                <w:rFonts w:ascii="Arial" w:hAnsi="Arial" w:cs="Arial"/>
              </w:rPr>
            </w:pPr>
            <w:r w:rsidRPr="002F2EFC">
              <w:rPr>
                <w:rFonts w:ascii="Arial" w:hAnsi="Arial" w:cs="Arial"/>
              </w:rPr>
              <w:t>Información disponible en el SharePoint de la OAP a través del formato DEFT15 </w:t>
            </w:r>
          </w:p>
        </w:tc>
        <w:tc>
          <w:tcPr>
            <w:tcW w:w="2009" w:type="dxa"/>
            <w:vAlign w:val="center"/>
          </w:tcPr>
          <w:p w14:paraId="06C86144" w14:textId="77777777" w:rsidR="002F2EFC" w:rsidRPr="005B684F" w:rsidRDefault="002F2EFC" w:rsidP="002F2EFC">
            <w:pPr>
              <w:rPr>
                <w:rFonts w:ascii="Arial" w:hAnsi="Arial" w:cs="Arial"/>
              </w:rPr>
            </w:pPr>
            <w:r w:rsidRPr="005B684F">
              <w:rPr>
                <w:rFonts w:ascii="Arial" w:hAnsi="Arial" w:cs="Arial"/>
                <w:b/>
                <w:bCs/>
              </w:rPr>
              <w:t>Nombre</w:t>
            </w:r>
          </w:p>
        </w:tc>
        <w:tc>
          <w:tcPr>
            <w:tcW w:w="3094" w:type="dxa"/>
            <w:vMerge w:val="restart"/>
            <w:vAlign w:val="center"/>
          </w:tcPr>
          <w:p w14:paraId="1A68E13A" w14:textId="3FAFCC9A" w:rsidR="002F2EFC" w:rsidRPr="005B684F" w:rsidRDefault="002F2EFC" w:rsidP="002F2EFC">
            <w:pPr>
              <w:spacing w:line="360" w:lineRule="auto"/>
              <w:rPr>
                <w:rFonts w:ascii="Arial" w:eastAsia="Arial" w:hAnsi="Arial" w:cs="Arial"/>
              </w:rPr>
            </w:pPr>
            <w:r w:rsidRPr="002F2EFC">
              <w:rPr>
                <w:rFonts w:ascii="Arial" w:hAnsi="Arial" w:cs="Arial"/>
              </w:rPr>
              <w:t>Información disponible en el SharePoint de la OAP a través del formato DEFT15 </w:t>
            </w:r>
          </w:p>
        </w:tc>
        <w:tc>
          <w:tcPr>
            <w:tcW w:w="1275" w:type="dxa"/>
            <w:vAlign w:val="center"/>
          </w:tcPr>
          <w:p w14:paraId="7BD4405E" w14:textId="77777777" w:rsidR="002F2EFC" w:rsidRPr="005B684F" w:rsidRDefault="002F2EFC" w:rsidP="002F2EFC">
            <w:pPr>
              <w:rPr>
                <w:rFonts w:ascii="Arial" w:hAnsi="Arial" w:cs="Arial"/>
              </w:rPr>
            </w:pPr>
            <w:r w:rsidRPr="005B684F">
              <w:rPr>
                <w:rFonts w:ascii="Arial" w:hAnsi="Arial" w:cs="Arial"/>
                <w:b/>
                <w:bCs/>
              </w:rPr>
              <w:t>Nombre</w:t>
            </w:r>
          </w:p>
        </w:tc>
        <w:tc>
          <w:tcPr>
            <w:tcW w:w="2682" w:type="dxa"/>
            <w:vMerge w:val="restart"/>
            <w:vAlign w:val="center"/>
          </w:tcPr>
          <w:p w14:paraId="07D5AC31" w14:textId="10F3418F" w:rsidR="002F2EFC" w:rsidRPr="005B684F" w:rsidRDefault="002F2EFC" w:rsidP="002F2EFC">
            <w:pPr>
              <w:spacing w:line="360" w:lineRule="auto"/>
              <w:rPr>
                <w:rFonts w:ascii="Arial" w:eastAsia="Arial" w:hAnsi="Arial" w:cs="Arial"/>
              </w:rPr>
            </w:pPr>
            <w:r w:rsidRPr="002F2EFC">
              <w:rPr>
                <w:rFonts w:ascii="Arial" w:hAnsi="Arial" w:cs="Arial"/>
              </w:rPr>
              <w:t>Información disponible en el SharePoint de la OAP a través del formato DEFT15 </w:t>
            </w:r>
          </w:p>
        </w:tc>
      </w:tr>
      <w:tr w:rsidR="00F20354" w:rsidRPr="005B684F" w14:paraId="5983AC9B" w14:textId="77777777" w:rsidTr="004115D7">
        <w:trPr>
          <w:trHeight w:val="355"/>
        </w:trPr>
        <w:tc>
          <w:tcPr>
            <w:tcW w:w="1536" w:type="dxa"/>
            <w:vAlign w:val="center"/>
          </w:tcPr>
          <w:p w14:paraId="0BAC9280" w14:textId="77777777" w:rsidR="00F20354" w:rsidRPr="005B684F" w:rsidRDefault="00F20354" w:rsidP="00BC3926">
            <w:pPr>
              <w:rPr>
                <w:rFonts w:ascii="Arial" w:hAnsi="Arial" w:cs="Arial"/>
                <w:b/>
                <w:bCs/>
              </w:rPr>
            </w:pPr>
            <w:r w:rsidRPr="005B684F">
              <w:rPr>
                <w:rFonts w:ascii="Arial" w:hAnsi="Arial" w:cs="Arial"/>
                <w:b/>
                <w:bCs/>
              </w:rPr>
              <w:t>Cargo</w:t>
            </w:r>
          </w:p>
        </w:tc>
        <w:tc>
          <w:tcPr>
            <w:tcW w:w="2287" w:type="dxa"/>
            <w:vMerge/>
            <w:vAlign w:val="center"/>
          </w:tcPr>
          <w:p w14:paraId="5606967F" w14:textId="3729DE88" w:rsidR="00F20354" w:rsidRPr="005B684F" w:rsidRDefault="00F20354" w:rsidP="00BC3926">
            <w:pPr>
              <w:spacing w:line="360" w:lineRule="auto"/>
              <w:rPr>
                <w:rFonts w:ascii="Arial" w:eastAsia="Arial" w:hAnsi="Arial" w:cs="Arial"/>
                <w:lang w:val="es-ES"/>
              </w:rPr>
            </w:pPr>
          </w:p>
        </w:tc>
        <w:tc>
          <w:tcPr>
            <w:tcW w:w="2009" w:type="dxa"/>
            <w:vAlign w:val="center"/>
          </w:tcPr>
          <w:p w14:paraId="2FA3FC72" w14:textId="77777777" w:rsidR="00F20354" w:rsidRPr="005B684F" w:rsidRDefault="00F20354" w:rsidP="00BC3926">
            <w:pPr>
              <w:rPr>
                <w:rFonts w:ascii="Arial" w:hAnsi="Arial" w:cs="Arial"/>
              </w:rPr>
            </w:pPr>
            <w:r w:rsidRPr="005B684F">
              <w:rPr>
                <w:rFonts w:ascii="Arial" w:hAnsi="Arial" w:cs="Arial"/>
                <w:b/>
                <w:bCs/>
              </w:rPr>
              <w:t>Cargo</w:t>
            </w:r>
          </w:p>
        </w:tc>
        <w:tc>
          <w:tcPr>
            <w:tcW w:w="3094" w:type="dxa"/>
            <w:vMerge/>
            <w:vAlign w:val="bottom"/>
          </w:tcPr>
          <w:p w14:paraId="36F81F47" w14:textId="7F39F847" w:rsidR="00F20354" w:rsidRPr="005B684F" w:rsidRDefault="00F20354" w:rsidP="00BC3926">
            <w:pPr>
              <w:spacing w:line="360" w:lineRule="auto"/>
              <w:rPr>
                <w:rFonts w:ascii="Arial" w:eastAsia="Arial" w:hAnsi="Arial" w:cs="Arial"/>
                <w:lang w:val="es-ES"/>
              </w:rPr>
            </w:pPr>
          </w:p>
        </w:tc>
        <w:tc>
          <w:tcPr>
            <w:tcW w:w="1275" w:type="dxa"/>
            <w:vAlign w:val="center"/>
          </w:tcPr>
          <w:p w14:paraId="5FBC66A2" w14:textId="77777777" w:rsidR="00F20354" w:rsidRPr="005B684F" w:rsidRDefault="00F20354" w:rsidP="004C6011">
            <w:pPr>
              <w:rPr>
                <w:rFonts w:ascii="Arial" w:hAnsi="Arial" w:cs="Arial"/>
              </w:rPr>
            </w:pPr>
            <w:r w:rsidRPr="005B684F">
              <w:rPr>
                <w:rFonts w:ascii="Arial" w:hAnsi="Arial" w:cs="Arial"/>
                <w:b/>
                <w:bCs/>
              </w:rPr>
              <w:t>Cargo</w:t>
            </w:r>
          </w:p>
        </w:tc>
        <w:tc>
          <w:tcPr>
            <w:tcW w:w="2682" w:type="dxa"/>
            <w:vMerge/>
            <w:vAlign w:val="bottom"/>
          </w:tcPr>
          <w:p w14:paraId="2FC62E6B" w14:textId="68AACBCB" w:rsidR="00F20354" w:rsidRPr="005B684F" w:rsidRDefault="00F20354" w:rsidP="00BC3926">
            <w:pPr>
              <w:spacing w:line="360" w:lineRule="auto"/>
              <w:rPr>
                <w:rFonts w:ascii="Arial" w:eastAsia="Arial" w:hAnsi="Arial" w:cs="Arial"/>
                <w:lang w:val="es-ES"/>
              </w:rPr>
            </w:pPr>
          </w:p>
        </w:tc>
      </w:tr>
      <w:tr w:rsidR="00F20354" w:rsidRPr="005B684F" w14:paraId="2BB01195" w14:textId="77777777" w:rsidTr="00B47F45">
        <w:trPr>
          <w:trHeight w:val="332"/>
        </w:trPr>
        <w:tc>
          <w:tcPr>
            <w:tcW w:w="1536" w:type="dxa"/>
            <w:vAlign w:val="center"/>
          </w:tcPr>
          <w:p w14:paraId="2B819AA4" w14:textId="77777777" w:rsidR="00F20354" w:rsidRPr="005B684F" w:rsidRDefault="00F20354" w:rsidP="00B47F45">
            <w:pPr>
              <w:rPr>
                <w:rFonts w:ascii="Arial" w:hAnsi="Arial" w:cs="Arial"/>
                <w:b/>
                <w:bCs/>
              </w:rPr>
            </w:pPr>
            <w:r w:rsidRPr="005B684F">
              <w:rPr>
                <w:rFonts w:ascii="Arial" w:hAnsi="Arial" w:cs="Arial"/>
                <w:b/>
                <w:bCs/>
              </w:rPr>
              <w:t>Fecha</w:t>
            </w:r>
          </w:p>
        </w:tc>
        <w:tc>
          <w:tcPr>
            <w:tcW w:w="2287" w:type="dxa"/>
            <w:vMerge/>
            <w:vAlign w:val="center"/>
          </w:tcPr>
          <w:p w14:paraId="29C8DC4A" w14:textId="5C4AE823" w:rsidR="00F20354" w:rsidRPr="005B684F" w:rsidRDefault="00F20354" w:rsidP="00B47F45">
            <w:pPr>
              <w:spacing w:line="360" w:lineRule="auto"/>
              <w:rPr>
                <w:rFonts w:ascii="Arial" w:eastAsia="Arial" w:hAnsi="Arial" w:cs="Arial"/>
              </w:rPr>
            </w:pPr>
          </w:p>
        </w:tc>
        <w:tc>
          <w:tcPr>
            <w:tcW w:w="2009" w:type="dxa"/>
            <w:vAlign w:val="center"/>
          </w:tcPr>
          <w:p w14:paraId="3ED6B167" w14:textId="77777777" w:rsidR="00F20354" w:rsidRPr="005B684F" w:rsidRDefault="00F20354" w:rsidP="00B47F45">
            <w:pPr>
              <w:rPr>
                <w:rFonts w:ascii="Arial" w:hAnsi="Arial" w:cs="Arial"/>
                <w:b/>
                <w:bCs/>
              </w:rPr>
            </w:pPr>
            <w:r w:rsidRPr="005B684F">
              <w:rPr>
                <w:rFonts w:ascii="Arial" w:hAnsi="Arial" w:cs="Arial"/>
                <w:b/>
                <w:bCs/>
              </w:rPr>
              <w:t>Fecha</w:t>
            </w:r>
          </w:p>
        </w:tc>
        <w:tc>
          <w:tcPr>
            <w:tcW w:w="3094" w:type="dxa"/>
            <w:vMerge/>
            <w:vAlign w:val="center"/>
          </w:tcPr>
          <w:p w14:paraId="4D6098BB" w14:textId="6DF6AC7C" w:rsidR="00F20354" w:rsidRPr="005B684F" w:rsidRDefault="00F20354" w:rsidP="00B47F45">
            <w:pPr>
              <w:rPr>
                <w:rFonts w:ascii="Arial" w:hAnsi="Arial" w:cs="Arial"/>
              </w:rPr>
            </w:pPr>
          </w:p>
        </w:tc>
        <w:tc>
          <w:tcPr>
            <w:tcW w:w="1275" w:type="dxa"/>
            <w:vAlign w:val="center"/>
          </w:tcPr>
          <w:p w14:paraId="0DD00F62" w14:textId="77777777" w:rsidR="00F20354" w:rsidRPr="005B684F" w:rsidRDefault="00F20354" w:rsidP="00B47F45">
            <w:pPr>
              <w:rPr>
                <w:rFonts w:ascii="Arial" w:hAnsi="Arial" w:cs="Arial"/>
                <w:b/>
                <w:bCs/>
              </w:rPr>
            </w:pPr>
            <w:r w:rsidRPr="005B684F">
              <w:rPr>
                <w:rFonts w:ascii="Arial" w:hAnsi="Arial" w:cs="Arial"/>
                <w:b/>
                <w:bCs/>
              </w:rPr>
              <w:t>Fecha</w:t>
            </w:r>
          </w:p>
        </w:tc>
        <w:tc>
          <w:tcPr>
            <w:tcW w:w="2682" w:type="dxa"/>
            <w:vMerge/>
            <w:vAlign w:val="center"/>
          </w:tcPr>
          <w:p w14:paraId="01EAE717" w14:textId="7B59257A" w:rsidR="00F20354" w:rsidRPr="005B684F" w:rsidRDefault="00F20354" w:rsidP="00B47F45">
            <w:pPr>
              <w:rPr>
                <w:rFonts w:ascii="Arial" w:hAnsi="Arial" w:cs="Arial"/>
              </w:rPr>
            </w:pPr>
          </w:p>
        </w:tc>
      </w:tr>
    </w:tbl>
    <w:p w14:paraId="17BFD451" w14:textId="07B2E10A" w:rsidR="004A58CA" w:rsidRDefault="004A58CA" w:rsidP="00862357">
      <w:pPr>
        <w:rPr>
          <w:rFonts w:ascii="Arial" w:hAnsi="Arial" w:cs="Arial"/>
          <w:shd w:val="clear" w:color="auto" w:fill="FFFFFF"/>
        </w:rPr>
      </w:pPr>
    </w:p>
    <w:p w14:paraId="4DF9432D" w14:textId="0446AFB6" w:rsidR="00EB32D2" w:rsidRDefault="00EB32D2" w:rsidP="00862357">
      <w:pPr>
        <w:rPr>
          <w:rFonts w:ascii="Arial" w:hAnsi="Arial" w:cs="Arial"/>
          <w:shd w:val="clear" w:color="auto" w:fill="FFFFFF"/>
        </w:rPr>
      </w:pPr>
    </w:p>
    <w:p w14:paraId="1488F640" w14:textId="77777777" w:rsidR="00EB32D2" w:rsidRPr="005B684F" w:rsidRDefault="00EB32D2" w:rsidP="00862357">
      <w:pPr>
        <w:rPr>
          <w:rFonts w:ascii="Arial" w:hAnsi="Arial" w:cs="Arial"/>
          <w:shd w:val="clear" w:color="auto" w:fill="FFFFFF"/>
        </w:rPr>
      </w:pPr>
    </w:p>
    <w:sectPr w:rsidR="00EB32D2" w:rsidRPr="005B684F" w:rsidSect="00903DFA">
      <w:headerReference w:type="default" r:id="rId16"/>
      <w:footerReference w:type="default" r:id="rId17"/>
      <w:pgSz w:w="15840" w:h="12240" w:orient="landscape"/>
      <w:pgMar w:top="1701" w:right="1417" w:bottom="1701" w:left="1417"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B31AB" w14:textId="77777777" w:rsidR="00A01871" w:rsidRDefault="00A01871" w:rsidP="00781A83">
      <w:pPr>
        <w:spacing w:after="0" w:line="240" w:lineRule="auto"/>
      </w:pPr>
      <w:r>
        <w:separator/>
      </w:r>
    </w:p>
  </w:endnote>
  <w:endnote w:type="continuationSeparator" w:id="0">
    <w:p w14:paraId="5CA4381B" w14:textId="77777777" w:rsidR="00A01871" w:rsidRDefault="00A01871" w:rsidP="00781A83">
      <w:pPr>
        <w:spacing w:after="0" w:line="240" w:lineRule="auto"/>
      </w:pPr>
      <w:r>
        <w:continuationSeparator/>
      </w:r>
    </w:p>
  </w:endnote>
  <w:endnote w:type="continuationNotice" w:id="1">
    <w:p w14:paraId="38C4CA7B" w14:textId="77777777" w:rsidR="00A01871" w:rsidRDefault="00A018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110616285"/>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52635B65" w14:textId="2AA14EC9" w:rsidR="00D34ABC" w:rsidRPr="0054483B" w:rsidRDefault="00D34ABC">
            <w:pPr>
              <w:pStyle w:val="Piedepgina"/>
              <w:jc w:val="right"/>
              <w:rPr>
                <w:rFonts w:ascii="Arial" w:hAnsi="Arial" w:cs="Arial"/>
                <w:sz w:val="18"/>
                <w:szCs w:val="18"/>
              </w:rPr>
            </w:pPr>
            <w:r w:rsidRPr="0054483B">
              <w:rPr>
                <w:rFonts w:ascii="Arial" w:hAnsi="Arial" w:cs="Arial"/>
                <w:sz w:val="18"/>
                <w:szCs w:val="18"/>
                <w:lang w:val="es-ES"/>
              </w:rPr>
              <w:t xml:space="preserve">Página </w:t>
            </w:r>
            <w:r w:rsidRPr="0054483B">
              <w:rPr>
                <w:rFonts w:ascii="Arial" w:hAnsi="Arial" w:cs="Arial"/>
                <w:b/>
                <w:bCs/>
                <w:sz w:val="18"/>
                <w:szCs w:val="18"/>
              </w:rPr>
              <w:fldChar w:fldCharType="begin"/>
            </w:r>
            <w:r w:rsidRPr="0054483B">
              <w:rPr>
                <w:rFonts w:ascii="Arial" w:hAnsi="Arial" w:cs="Arial"/>
                <w:b/>
                <w:bCs/>
                <w:sz w:val="18"/>
                <w:szCs w:val="18"/>
              </w:rPr>
              <w:instrText>PAGE</w:instrText>
            </w:r>
            <w:r w:rsidRPr="0054483B">
              <w:rPr>
                <w:rFonts w:ascii="Arial" w:hAnsi="Arial" w:cs="Arial"/>
                <w:b/>
                <w:bCs/>
                <w:sz w:val="18"/>
                <w:szCs w:val="18"/>
              </w:rPr>
              <w:fldChar w:fldCharType="separate"/>
            </w:r>
            <w:r w:rsidRPr="0054483B">
              <w:rPr>
                <w:rFonts w:ascii="Arial" w:hAnsi="Arial" w:cs="Arial"/>
                <w:b/>
                <w:bCs/>
                <w:sz w:val="18"/>
                <w:szCs w:val="18"/>
                <w:lang w:val="es-ES"/>
              </w:rPr>
              <w:t>2</w:t>
            </w:r>
            <w:r w:rsidRPr="0054483B">
              <w:rPr>
                <w:rFonts w:ascii="Arial" w:hAnsi="Arial" w:cs="Arial"/>
                <w:b/>
                <w:bCs/>
                <w:sz w:val="18"/>
                <w:szCs w:val="18"/>
              </w:rPr>
              <w:fldChar w:fldCharType="end"/>
            </w:r>
            <w:r w:rsidRPr="0054483B">
              <w:rPr>
                <w:rFonts w:ascii="Arial" w:hAnsi="Arial" w:cs="Arial"/>
                <w:sz w:val="18"/>
                <w:szCs w:val="18"/>
                <w:lang w:val="es-ES"/>
              </w:rPr>
              <w:t xml:space="preserve"> de </w:t>
            </w:r>
            <w:r w:rsidRPr="0054483B">
              <w:rPr>
                <w:rFonts w:ascii="Arial" w:hAnsi="Arial" w:cs="Arial"/>
                <w:b/>
                <w:bCs/>
                <w:sz w:val="18"/>
                <w:szCs w:val="18"/>
              </w:rPr>
              <w:fldChar w:fldCharType="begin"/>
            </w:r>
            <w:r w:rsidRPr="0054483B">
              <w:rPr>
                <w:rFonts w:ascii="Arial" w:hAnsi="Arial" w:cs="Arial"/>
                <w:b/>
                <w:bCs/>
                <w:sz w:val="18"/>
                <w:szCs w:val="18"/>
              </w:rPr>
              <w:instrText>NUMPAGES</w:instrText>
            </w:r>
            <w:r w:rsidRPr="0054483B">
              <w:rPr>
                <w:rFonts w:ascii="Arial" w:hAnsi="Arial" w:cs="Arial"/>
                <w:b/>
                <w:bCs/>
                <w:sz w:val="18"/>
                <w:szCs w:val="18"/>
              </w:rPr>
              <w:fldChar w:fldCharType="separate"/>
            </w:r>
            <w:r w:rsidRPr="0054483B">
              <w:rPr>
                <w:rFonts w:ascii="Arial" w:hAnsi="Arial" w:cs="Arial"/>
                <w:b/>
                <w:bCs/>
                <w:sz w:val="18"/>
                <w:szCs w:val="18"/>
                <w:lang w:val="es-ES"/>
              </w:rPr>
              <w:t>2</w:t>
            </w:r>
            <w:r w:rsidRPr="0054483B">
              <w:rPr>
                <w:rFonts w:ascii="Arial" w:hAnsi="Arial" w:cs="Arial"/>
                <w:b/>
                <w:bCs/>
                <w:sz w:val="18"/>
                <w:szCs w:val="18"/>
              </w:rPr>
              <w:fldChar w:fldCharType="end"/>
            </w:r>
          </w:p>
        </w:sdtContent>
      </w:sdt>
    </w:sdtContent>
  </w:sdt>
  <w:p w14:paraId="65152CF3" w14:textId="62F12663" w:rsidR="000911BE" w:rsidRDefault="000911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E4FA4" w14:textId="77777777" w:rsidR="00A01871" w:rsidRDefault="00A01871" w:rsidP="00781A83">
      <w:pPr>
        <w:spacing w:after="0" w:line="240" w:lineRule="auto"/>
      </w:pPr>
      <w:r>
        <w:separator/>
      </w:r>
    </w:p>
  </w:footnote>
  <w:footnote w:type="continuationSeparator" w:id="0">
    <w:p w14:paraId="4D359053" w14:textId="77777777" w:rsidR="00A01871" w:rsidRDefault="00A01871" w:rsidP="00781A83">
      <w:pPr>
        <w:spacing w:after="0" w:line="240" w:lineRule="auto"/>
      </w:pPr>
      <w:r>
        <w:continuationSeparator/>
      </w:r>
    </w:p>
  </w:footnote>
  <w:footnote w:type="continuationNotice" w:id="1">
    <w:p w14:paraId="517935B5" w14:textId="77777777" w:rsidR="00A01871" w:rsidRDefault="00A018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3975" w:type="dxa"/>
      <w:tblInd w:w="-506" w:type="dxa"/>
      <w:tblLook w:val="04A0" w:firstRow="1" w:lastRow="0" w:firstColumn="1" w:lastColumn="0" w:noHBand="0" w:noVBand="1"/>
    </w:tblPr>
    <w:tblGrid>
      <w:gridCol w:w="2486"/>
      <w:gridCol w:w="7943"/>
      <w:gridCol w:w="1632"/>
      <w:gridCol w:w="1914"/>
    </w:tblGrid>
    <w:tr w:rsidR="00781A83" w:rsidRPr="00781A83" w14:paraId="601C8519" w14:textId="77777777" w:rsidTr="00B65946">
      <w:trPr>
        <w:trHeight w:val="624"/>
      </w:trPr>
      <w:tc>
        <w:tcPr>
          <w:tcW w:w="2486" w:type="dxa"/>
          <w:tcBorders>
            <w:bottom w:val="nil"/>
          </w:tcBorders>
        </w:tcPr>
        <w:p w14:paraId="38DE6ADD" w14:textId="0F0A2C90" w:rsidR="00781A83" w:rsidRPr="00781A83" w:rsidRDefault="00DB00DD" w:rsidP="00781A83">
          <w:pPr>
            <w:tabs>
              <w:tab w:val="center" w:pos="4419"/>
              <w:tab w:val="right" w:pos="8838"/>
            </w:tabs>
            <w:spacing w:before="240"/>
            <w:rPr>
              <w:rFonts w:ascii="Arial" w:hAnsi="Arial" w:cs="Arial"/>
              <w:b/>
              <w:bCs/>
            </w:rPr>
          </w:pPr>
          <w:r w:rsidRPr="002E6EDE">
            <w:rPr>
              <w:rFonts w:cs="Arial"/>
              <w:b/>
              <w:bCs/>
              <w:noProof/>
            </w:rPr>
            <w:drawing>
              <wp:anchor distT="0" distB="0" distL="114300" distR="114300" simplePos="0" relativeHeight="251658240" behindDoc="0" locked="0" layoutInCell="1" allowOverlap="1" wp14:anchorId="1DA001B3" wp14:editId="5838AB52">
                <wp:simplePos x="0" y="0"/>
                <wp:positionH relativeFrom="column">
                  <wp:posOffset>-37465</wp:posOffset>
                </wp:positionH>
                <wp:positionV relativeFrom="paragraph">
                  <wp:posOffset>74295</wp:posOffset>
                </wp:positionV>
                <wp:extent cx="1374775" cy="819150"/>
                <wp:effectExtent l="0" t="0" r="0" b="0"/>
                <wp:wrapNone/>
                <wp:docPr id="559334950" name="Imagen 5593349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t="-3321" b="-5256"/>
                        <a:stretch/>
                      </pic:blipFill>
                      <pic:spPr bwMode="auto">
                        <a:xfrm>
                          <a:off x="0" y="0"/>
                          <a:ext cx="1374775" cy="819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943" w:type="dxa"/>
        </w:tcPr>
        <w:p w14:paraId="47B676C1" w14:textId="06D0EA25" w:rsidR="00781A83" w:rsidRPr="00781A83" w:rsidRDefault="00781A83" w:rsidP="005E0831">
          <w:pPr>
            <w:tabs>
              <w:tab w:val="center" w:pos="4419"/>
              <w:tab w:val="right" w:pos="8838"/>
            </w:tabs>
            <w:spacing w:before="240"/>
            <w:jc w:val="center"/>
            <w:rPr>
              <w:rFonts w:ascii="Arial" w:hAnsi="Arial" w:cs="Arial"/>
              <w:b/>
              <w:bCs/>
            </w:rPr>
          </w:pPr>
          <w:r w:rsidRPr="00781A83">
            <w:rPr>
              <w:rFonts w:ascii="Arial" w:hAnsi="Arial" w:cs="Arial"/>
              <w:b/>
              <w:bCs/>
            </w:rPr>
            <w:t xml:space="preserve">PROCESO </w:t>
          </w:r>
          <w:r w:rsidR="00336035">
            <w:rPr>
              <w:rFonts w:ascii="Arial" w:hAnsi="Arial" w:cs="Arial"/>
              <w:b/>
              <w:bCs/>
            </w:rPr>
            <w:t>GESTION JURIDICA</w:t>
          </w:r>
        </w:p>
      </w:tc>
      <w:tc>
        <w:tcPr>
          <w:tcW w:w="1632" w:type="dxa"/>
          <w:vAlign w:val="center"/>
        </w:tcPr>
        <w:p w14:paraId="3DF6951E" w14:textId="77777777" w:rsidR="00781A83" w:rsidRPr="00781A83" w:rsidRDefault="00781A83" w:rsidP="00B65946">
          <w:pPr>
            <w:tabs>
              <w:tab w:val="center" w:pos="4419"/>
              <w:tab w:val="right" w:pos="8838"/>
            </w:tabs>
            <w:jc w:val="center"/>
            <w:rPr>
              <w:rFonts w:ascii="Arial" w:hAnsi="Arial" w:cs="Arial"/>
              <w:b/>
              <w:bCs/>
              <w:sz w:val="20"/>
              <w:szCs w:val="20"/>
            </w:rPr>
          </w:pPr>
          <w:r w:rsidRPr="00781A83">
            <w:rPr>
              <w:rFonts w:ascii="Arial" w:hAnsi="Arial" w:cs="Arial"/>
              <w:b/>
              <w:bCs/>
              <w:sz w:val="20"/>
              <w:szCs w:val="20"/>
            </w:rPr>
            <w:t>CÓDIGO</w:t>
          </w:r>
        </w:p>
      </w:tc>
      <w:tc>
        <w:tcPr>
          <w:tcW w:w="1914" w:type="dxa"/>
          <w:vAlign w:val="center"/>
        </w:tcPr>
        <w:p w14:paraId="37C372EB" w14:textId="3A44A2BB" w:rsidR="00781A83" w:rsidRPr="00B65946" w:rsidRDefault="00F20354" w:rsidP="00B65946">
          <w:pPr>
            <w:tabs>
              <w:tab w:val="center" w:pos="4419"/>
              <w:tab w:val="right" w:pos="8838"/>
            </w:tabs>
            <w:rPr>
              <w:rFonts w:ascii="Arial" w:hAnsi="Arial" w:cs="Arial"/>
              <w:bCs/>
              <w:sz w:val="20"/>
              <w:szCs w:val="20"/>
            </w:rPr>
          </w:pPr>
          <w:r w:rsidRPr="00F20354">
            <w:rPr>
              <w:rFonts w:ascii="Arial" w:hAnsi="Arial" w:cs="Arial"/>
              <w:bCs/>
              <w:sz w:val="20"/>
              <w:szCs w:val="20"/>
            </w:rPr>
            <w:t>A5-PD-10</w:t>
          </w:r>
        </w:p>
      </w:tc>
    </w:tr>
    <w:tr w:rsidR="00781A83" w:rsidRPr="00781A83" w14:paraId="0BA42DA7" w14:textId="77777777" w:rsidTr="00B65946">
      <w:trPr>
        <w:trHeight w:val="624"/>
      </w:trPr>
      <w:tc>
        <w:tcPr>
          <w:tcW w:w="2486" w:type="dxa"/>
          <w:tcBorders>
            <w:top w:val="nil"/>
            <w:bottom w:val="nil"/>
          </w:tcBorders>
        </w:tcPr>
        <w:p w14:paraId="412B0738" w14:textId="129FF6B4" w:rsidR="00781A83" w:rsidRPr="00781A83" w:rsidRDefault="00781A83" w:rsidP="00781A83">
          <w:pPr>
            <w:tabs>
              <w:tab w:val="center" w:pos="4419"/>
              <w:tab w:val="right" w:pos="8838"/>
            </w:tabs>
            <w:spacing w:before="240"/>
            <w:rPr>
              <w:rFonts w:ascii="Arial" w:hAnsi="Arial" w:cs="Arial"/>
              <w:b/>
              <w:bCs/>
            </w:rPr>
          </w:pPr>
        </w:p>
      </w:tc>
      <w:tc>
        <w:tcPr>
          <w:tcW w:w="7943" w:type="dxa"/>
          <w:vMerge w:val="restart"/>
        </w:tcPr>
        <w:p w14:paraId="2AC0C1D7" w14:textId="671F6D59" w:rsidR="00781A83" w:rsidRPr="00781A83" w:rsidRDefault="005C1C2D" w:rsidP="005F5451">
          <w:pPr>
            <w:tabs>
              <w:tab w:val="center" w:pos="4419"/>
              <w:tab w:val="right" w:pos="8838"/>
            </w:tabs>
            <w:spacing w:before="240"/>
            <w:jc w:val="center"/>
            <w:rPr>
              <w:rFonts w:ascii="Arial" w:hAnsi="Arial" w:cs="Arial"/>
              <w:b/>
              <w:bCs/>
            </w:rPr>
          </w:pPr>
          <w:r>
            <w:rPr>
              <w:rFonts w:ascii="Arial" w:hAnsi="Arial" w:cs="Arial"/>
              <w:b/>
              <w:bCs/>
            </w:rPr>
            <w:t xml:space="preserve">PROCEDIMIENTO </w:t>
          </w:r>
          <w:r w:rsidR="001C7BF5">
            <w:rPr>
              <w:rFonts w:ascii="Arial" w:hAnsi="Arial" w:cs="Arial"/>
              <w:b/>
              <w:bCs/>
            </w:rPr>
            <w:t>CUMPLIMIENTO DE</w:t>
          </w:r>
          <w:r w:rsidR="00336035">
            <w:rPr>
              <w:rFonts w:ascii="Arial" w:hAnsi="Arial" w:cs="Arial"/>
              <w:b/>
              <w:bCs/>
            </w:rPr>
            <w:t xml:space="preserve"> </w:t>
          </w:r>
          <w:r w:rsidR="00A40F40">
            <w:rPr>
              <w:rFonts w:ascii="Arial" w:hAnsi="Arial" w:cs="Arial"/>
              <w:b/>
              <w:bCs/>
            </w:rPr>
            <w:t>PROVIDENCIAS JUDICIALES</w:t>
          </w:r>
          <w:r w:rsidR="00336035">
            <w:rPr>
              <w:rFonts w:ascii="Arial" w:hAnsi="Arial" w:cs="Arial"/>
              <w:b/>
              <w:bCs/>
            </w:rPr>
            <w:t>, CONCILIACIONES Y LAUDOS ARBITRALES</w:t>
          </w:r>
          <w:r w:rsidR="00590022">
            <w:rPr>
              <w:rFonts w:ascii="Arial" w:hAnsi="Arial" w:cs="Arial"/>
              <w:b/>
              <w:bCs/>
            </w:rPr>
            <w:t xml:space="preserve"> DE CARÁCTER ECONOMIC</w:t>
          </w:r>
          <w:r w:rsidR="005B684F">
            <w:rPr>
              <w:rFonts w:ascii="Arial" w:hAnsi="Arial" w:cs="Arial"/>
              <w:b/>
              <w:bCs/>
            </w:rPr>
            <w:t>O</w:t>
          </w:r>
        </w:p>
      </w:tc>
      <w:tc>
        <w:tcPr>
          <w:tcW w:w="1632" w:type="dxa"/>
          <w:vAlign w:val="center"/>
        </w:tcPr>
        <w:p w14:paraId="3FD92E6C" w14:textId="77777777" w:rsidR="00781A83" w:rsidRPr="00781A83" w:rsidRDefault="00781A83" w:rsidP="00B65946">
          <w:pPr>
            <w:tabs>
              <w:tab w:val="center" w:pos="4419"/>
              <w:tab w:val="right" w:pos="8838"/>
            </w:tabs>
            <w:jc w:val="center"/>
            <w:rPr>
              <w:rFonts w:ascii="Arial" w:hAnsi="Arial" w:cs="Arial"/>
              <w:b/>
              <w:bCs/>
              <w:sz w:val="20"/>
              <w:szCs w:val="20"/>
            </w:rPr>
          </w:pPr>
          <w:r w:rsidRPr="00781A83">
            <w:rPr>
              <w:rFonts w:ascii="Arial" w:hAnsi="Arial" w:cs="Arial"/>
              <w:b/>
              <w:bCs/>
              <w:sz w:val="20"/>
              <w:szCs w:val="20"/>
            </w:rPr>
            <w:t>VERSIÓN</w:t>
          </w:r>
        </w:p>
      </w:tc>
      <w:tc>
        <w:tcPr>
          <w:tcW w:w="1914" w:type="dxa"/>
          <w:vAlign w:val="center"/>
        </w:tcPr>
        <w:p w14:paraId="09D6AC7F" w14:textId="3358769C" w:rsidR="00781A83" w:rsidRPr="00B65946" w:rsidRDefault="001203B3" w:rsidP="00B65946">
          <w:pPr>
            <w:tabs>
              <w:tab w:val="center" w:pos="4419"/>
              <w:tab w:val="right" w:pos="8838"/>
            </w:tabs>
            <w:rPr>
              <w:rFonts w:ascii="Arial" w:hAnsi="Arial" w:cs="Arial"/>
              <w:bCs/>
              <w:sz w:val="20"/>
              <w:szCs w:val="20"/>
            </w:rPr>
          </w:pPr>
          <w:r w:rsidRPr="00B65946">
            <w:rPr>
              <w:rFonts w:ascii="Arial" w:hAnsi="Arial" w:cs="Arial"/>
              <w:bCs/>
              <w:sz w:val="20"/>
              <w:szCs w:val="20"/>
            </w:rPr>
            <w:t>01</w:t>
          </w:r>
        </w:p>
      </w:tc>
    </w:tr>
    <w:tr w:rsidR="00781A83" w:rsidRPr="00781A83" w14:paraId="49D2DAAB" w14:textId="77777777" w:rsidTr="00B65946">
      <w:trPr>
        <w:trHeight w:val="288"/>
      </w:trPr>
      <w:tc>
        <w:tcPr>
          <w:tcW w:w="2486" w:type="dxa"/>
          <w:tcBorders>
            <w:top w:val="nil"/>
          </w:tcBorders>
        </w:tcPr>
        <w:p w14:paraId="347804E9" w14:textId="77777777" w:rsidR="00781A83" w:rsidRPr="00781A83" w:rsidRDefault="00781A83" w:rsidP="00781A83">
          <w:pPr>
            <w:tabs>
              <w:tab w:val="center" w:pos="4419"/>
              <w:tab w:val="right" w:pos="8838"/>
            </w:tabs>
            <w:spacing w:before="240"/>
            <w:rPr>
              <w:rFonts w:ascii="Arial" w:hAnsi="Arial" w:cs="Arial"/>
              <w:b/>
              <w:bCs/>
            </w:rPr>
          </w:pPr>
        </w:p>
      </w:tc>
      <w:tc>
        <w:tcPr>
          <w:tcW w:w="7943" w:type="dxa"/>
          <w:vMerge/>
          <w:vAlign w:val="center"/>
        </w:tcPr>
        <w:p w14:paraId="7B611CAF" w14:textId="77777777" w:rsidR="00781A83" w:rsidRPr="00781A83" w:rsidRDefault="00781A83" w:rsidP="00781A83">
          <w:pPr>
            <w:tabs>
              <w:tab w:val="center" w:pos="4419"/>
              <w:tab w:val="right" w:pos="8838"/>
            </w:tabs>
            <w:spacing w:before="240"/>
            <w:rPr>
              <w:rFonts w:ascii="Arial" w:hAnsi="Arial" w:cs="Arial"/>
              <w:b/>
              <w:bCs/>
            </w:rPr>
          </w:pPr>
        </w:p>
      </w:tc>
      <w:tc>
        <w:tcPr>
          <w:tcW w:w="1632" w:type="dxa"/>
          <w:vAlign w:val="center"/>
        </w:tcPr>
        <w:p w14:paraId="57964EB3" w14:textId="77777777" w:rsidR="00781A83" w:rsidRPr="00781A83" w:rsidRDefault="00781A83" w:rsidP="00B65946">
          <w:pPr>
            <w:tabs>
              <w:tab w:val="center" w:pos="4419"/>
              <w:tab w:val="right" w:pos="8838"/>
            </w:tabs>
            <w:jc w:val="center"/>
            <w:rPr>
              <w:rFonts w:ascii="Arial" w:hAnsi="Arial" w:cs="Arial"/>
              <w:b/>
              <w:bCs/>
              <w:sz w:val="20"/>
              <w:szCs w:val="20"/>
            </w:rPr>
          </w:pPr>
          <w:r w:rsidRPr="00781A83">
            <w:rPr>
              <w:rFonts w:ascii="Arial" w:hAnsi="Arial" w:cs="Arial"/>
              <w:b/>
              <w:bCs/>
              <w:sz w:val="20"/>
              <w:szCs w:val="20"/>
            </w:rPr>
            <w:t>FECHA</w:t>
          </w:r>
        </w:p>
      </w:tc>
      <w:tc>
        <w:tcPr>
          <w:tcW w:w="1914" w:type="dxa"/>
          <w:vAlign w:val="center"/>
        </w:tcPr>
        <w:p w14:paraId="3C55FCDF" w14:textId="13B7F57D" w:rsidR="00781A83" w:rsidRPr="00B65946" w:rsidRDefault="00F20354" w:rsidP="00B65946">
          <w:pPr>
            <w:tabs>
              <w:tab w:val="center" w:pos="4419"/>
              <w:tab w:val="right" w:pos="8838"/>
            </w:tabs>
            <w:rPr>
              <w:rFonts w:ascii="Arial" w:hAnsi="Arial" w:cs="Arial"/>
              <w:bCs/>
              <w:sz w:val="20"/>
              <w:szCs w:val="20"/>
            </w:rPr>
          </w:pPr>
          <w:r>
            <w:rPr>
              <w:rFonts w:ascii="Arial" w:hAnsi="Arial" w:cs="Arial"/>
              <w:bCs/>
              <w:sz w:val="20"/>
              <w:szCs w:val="20"/>
            </w:rPr>
            <w:t>31</w:t>
          </w:r>
          <w:r w:rsidR="00B65946" w:rsidRPr="00B65946">
            <w:rPr>
              <w:rFonts w:ascii="Arial" w:hAnsi="Arial" w:cs="Arial"/>
              <w:bCs/>
              <w:sz w:val="20"/>
              <w:szCs w:val="20"/>
            </w:rPr>
            <w:t>/03/2026</w:t>
          </w:r>
        </w:p>
      </w:tc>
    </w:tr>
  </w:tbl>
  <w:p w14:paraId="35D82137" w14:textId="77777777" w:rsidR="00781A83" w:rsidRDefault="00781A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35FF"/>
    <w:multiLevelType w:val="hybridMultilevel"/>
    <w:tmpl w:val="5F2C9CB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B094C7B"/>
    <w:multiLevelType w:val="hybridMultilevel"/>
    <w:tmpl w:val="1272F1B0"/>
    <w:lvl w:ilvl="0" w:tplc="9F7025DE">
      <w:numFmt w:val="bullet"/>
      <w:lvlText w:val=""/>
      <w:lvlJc w:val="left"/>
      <w:pPr>
        <w:ind w:left="720" w:hanging="360"/>
      </w:pPr>
      <w:rPr>
        <w:rFonts w:ascii="Symbol" w:eastAsiaTheme="majorEastAsia"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3254010"/>
    <w:multiLevelType w:val="multilevel"/>
    <w:tmpl w:val="C758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5830049">
    <w:abstractNumId w:val="0"/>
  </w:num>
  <w:num w:numId="2" w16cid:durableId="2037727408">
    <w:abstractNumId w:val="1"/>
  </w:num>
  <w:num w:numId="3" w16cid:durableId="76480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83"/>
    <w:rsid w:val="00004879"/>
    <w:rsid w:val="00011D95"/>
    <w:rsid w:val="00012832"/>
    <w:rsid w:val="00017E6C"/>
    <w:rsid w:val="00026F92"/>
    <w:rsid w:val="00032E13"/>
    <w:rsid w:val="00035F6E"/>
    <w:rsid w:val="0004612C"/>
    <w:rsid w:val="00060A50"/>
    <w:rsid w:val="00071288"/>
    <w:rsid w:val="000911BE"/>
    <w:rsid w:val="00093FA9"/>
    <w:rsid w:val="000A39D7"/>
    <w:rsid w:val="000A5B2A"/>
    <w:rsid w:val="000B1E29"/>
    <w:rsid w:val="000B4078"/>
    <w:rsid w:val="000C2DFB"/>
    <w:rsid w:val="000C7655"/>
    <w:rsid w:val="000D4C44"/>
    <w:rsid w:val="000D7E40"/>
    <w:rsid w:val="000E6FF2"/>
    <w:rsid w:val="000F6E04"/>
    <w:rsid w:val="00104F0E"/>
    <w:rsid w:val="00105486"/>
    <w:rsid w:val="00110934"/>
    <w:rsid w:val="00110DE6"/>
    <w:rsid w:val="00111E2B"/>
    <w:rsid w:val="00112C2B"/>
    <w:rsid w:val="001203B3"/>
    <w:rsid w:val="001208D2"/>
    <w:rsid w:val="00121BF6"/>
    <w:rsid w:val="00131875"/>
    <w:rsid w:val="001319FC"/>
    <w:rsid w:val="00133986"/>
    <w:rsid w:val="00134DC7"/>
    <w:rsid w:val="00142B6E"/>
    <w:rsid w:val="001451F7"/>
    <w:rsid w:val="00153C22"/>
    <w:rsid w:val="00153C50"/>
    <w:rsid w:val="00164C0D"/>
    <w:rsid w:val="001655FE"/>
    <w:rsid w:val="00170BA8"/>
    <w:rsid w:val="00176710"/>
    <w:rsid w:val="001824C7"/>
    <w:rsid w:val="00183E57"/>
    <w:rsid w:val="0019110F"/>
    <w:rsid w:val="00193717"/>
    <w:rsid w:val="00195767"/>
    <w:rsid w:val="001957BA"/>
    <w:rsid w:val="00196B9C"/>
    <w:rsid w:val="001A5040"/>
    <w:rsid w:val="001B0629"/>
    <w:rsid w:val="001C0C07"/>
    <w:rsid w:val="001C43BC"/>
    <w:rsid w:val="001C7BF5"/>
    <w:rsid w:val="001D5057"/>
    <w:rsid w:val="001E096B"/>
    <w:rsid w:val="001E3459"/>
    <w:rsid w:val="001E5A82"/>
    <w:rsid w:val="001E5F70"/>
    <w:rsid w:val="001E7A16"/>
    <w:rsid w:val="001F43F9"/>
    <w:rsid w:val="0020211D"/>
    <w:rsid w:val="00204417"/>
    <w:rsid w:val="00204D83"/>
    <w:rsid w:val="00214350"/>
    <w:rsid w:val="00214B5E"/>
    <w:rsid w:val="00220018"/>
    <w:rsid w:val="00220DA5"/>
    <w:rsid w:val="00245200"/>
    <w:rsid w:val="00246161"/>
    <w:rsid w:val="00246C9E"/>
    <w:rsid w:val="00251D1D"/>
    <w:rsid w:val="002525A8"/>
    <w:rsid w:val="00253BA2"/>
    <w:rsid w:val="002574A5"/>
    <w:rsid w:val="002650F6"/>
    <w:rsid w:val="0026560F"/>
    <w:rsid w:val="002670AF"/>
    <w:rsid w:val="002723E2"/>
    <w:rsid w:val="002802F5"/>
    <w:rsid w:val="00291177"/>
    <w:rsid w:val="00292CA8"/>
    <w:rsid w:val="00292D87"/>
    <w:rsid w:val="00294EFD"/>
    <w:rsid w:val="002A5F23"/>
    <w:rsid w:val="002B0718"/>
    <w:rsid w:val="002B1820"/>
    <w:rsid w:val="002B1F7F"/>
    <w:rsid w:val="002B38A4"/>
    <w:rsid w:val="002C0D9D"/>
    <w:rsid w:val="002C4B01"/>
    <w:rsid w:val="002C697B"/>
    <w:rsid w:val="002D205B"/>
    <w:rsid w:val="002D3669"/>
    <w:rsid w:val="002E54E2"/>
    <w:rsid w:val="002F01FA"/>
    <w:rsid w:val="002F2EFC"/>
    <w:rsid w:val="002F6612"/>
    <w:rsid w:val="002F728A"/>
    <w:rsid w:val="00304067"/>
    <w:rsid w:val="00305AAF"/>
    <w:rsid w:val="00317996"/>
    <w:rsid w:val="0032364E"/>
    <w:rsid w:val="00324BAF"/>
    <w:rsid w:val="00327E08"/>
    <w:rsid w:val="00332A02"/>
    <w:rsid w:val="003350F7"/>
    <w:rsid w:val="00336035"/>
    <w:rsid w:val="00337812"/>
    <w:rsid w:val="00347CCC"/>
    <w:rsid w:val="003537F8"/>
    <w:rsid w:val="00364948"/>
    <w:rsid w:val="00365E1C"/>
    <w:rsid w:val="00370767"/>
    <w:rsid w:val="00375D2D"/>
    <w:rsid w:val="00382F5D"/>
    <w:rsid w:val="00385351"/>
    <w:rsid w:val="00385424"/>
    <w:rsid w:val="003862EF"/>
    <w:rsid w:val="00391895"/>
    <w:rsid w:val="003A287D"/>
    <w:rsid w:val="003A7D0A"/>
    <w:rsid w:val="003B0574"/>
    <w:rsid w:val="003B3628"/>
    <w:rsid w:val="003B3698"/>
    <w:rsid w:val="003B4A63"/>
    <w:rsid w:val="003B69DF"/>
    <w:rsid w:val="003C071F"/>
    <w:rsid w:val="003C32AF"/>
    <w:rsid w:val="003D59E6"/>
    <w:rsid w:val="00410F6B"/>
    <w:rsid w:val="004112BF"/>
    <w:rsid w:val="004115D7"/>
    <w:rsid w:val="00412171"/>
    <w:rsid w:val="00413D50"/>
    <w:rsid w:val="00413E16"/>
    <w:rsid w:val="004150C3"/>
    <w:rsid w:val="00423137"/>
    <w:rsid w:val="00426A8C"/>
    <w:rsid w:val="004277C3"/>
    <w:rsid w:val="0044048A"/>
    <w:rsid w:val="00444D26"/>
    <w:rsid w:val="00446B1D"/>
    <w:rsid w:val="0045019B"/>
    <w:rsid w:val="004616B6"/>
    <w:rsid w:val="00461714"/>
    <w:rsid w:val="00462FA9"/>
    <w:rsid w:val="00471851"/>
    <w:rsid w:val="00475A7E"/>
    <w:rsid w:val="004812F8"/>
    <w:rsid w:val="00496B70"/>
    <w:rsid w:val="00497F4F"/>
    <w:rsid w:val="004A1300"/>
    <w:rsid w:val="004A58CA"/>
    <w:rsid w:val="004B007F"/>
    <w:rsid w:val="004B4F77"/>
    <w:rsid w:val="004B770A"/>
    <w:rsid w:val="004C0743"/>
    <w:rsid w:val="004C1C6A"/>
    <w:rsid w:val="004C5BBC"/>
    <w:rsid w:val="004C6011"/>
    <w:rsid w:val="004C78EA"/>
    <w:rsid w:val="004D2A82"/>
    <w:rsid w:val="004E0B04"/>
    <w:rsid w:val="004E3EE7"/>
    <w:rsid w:val="004E73ED"/>
    <w:rsid w:val="005058D3"/>
    <w:rsid w:val="005129B1"/>
    <w:rsid w:val="005353EF"/>
    <w:rsid w:val="00543DDD"/>
    <w:rsid w:val="0054483B"/>
    <w:rsid w:val="00552DF4"/>
    <w:rsid w:val="005535D6"/>
    <w:rsid w:val="005601E4"/>
    <w:rsid w:val="005718D6"/>
    <w:rsid w:val="00572F01"/>
    <w:rsid w:val="00575BBB"/>
    <w:rsid w:val="00581990"/>
    <w:rsid w:val="00582980"/>
    <w:rsid w:val="00585EF8"/>
    <w:rsid w:val="00590022"/>
    <w:rsid w:val="00594D42"/>
    <w:rsid w:val="00597434"/>
    <w:rsid w:val="005B684F"/>
    <w:rsid w:val="005C0489"/>
    <w:rsid w:val="005C1C2D"/>
    <w:rsid w:val="005C508A"/>
    <w:rsid w:val="005D29F1"/>
    <w:rsid w:val="005D3042"/>
    <w:rsid w:val="005E0831"/>
    <w:rsid w:val="005E0BA1"/>
    <w:rsid w:val="005E2C75"/>
    <w:rsid w:val="005E2D32"/>
    <w:rsid w:val="005E64F2"/>
    <w:rsid w:val="005E7F1C"/>
    <w:rsid w:val="005F0262"/>
    <w:rsid w:val="005F5451"/>
    <w:rsid w:val="005F5F31"/>
    <w:rsid w:val="00606858"/>
    <w:rsid w:val="0061070E"/>
    <w:rsid w:val="006110F6"/>
    <w:rsid w:val="00617183"/>
    <w:rsid w:val="0062097B"/>
    <w:rsid w:val="0062297F"/>
    <w:rsid w:val="00623E26"/>
    <w:rsid w:val="006240D3"/>
    <w:rsid w:val="006317D4"/>
    <w:rsid w:val="00632623"/>
    <w:rsid w:val="00642D68"/>
    <w:rsid w:val="0065073C"/>
    <w:rsid w:val="00663D1F"/>
    <w:rsid w:val="00665D48"/>
    <w:rsid w:val="006829E7"/>
    <w:rsid w:val="0068342D"/>
    <w:rsid w:val="0068450C"/>
    <w:rsid w:val="00684B11"/>
    <w:rsid w:val="00684C1D"/>
    <w:rsid w:val="00685616"/>
    <w:rsid w:val="006934D9"/>
    <w:rsid w:val="006936B4"/>
    <w:rsid w:val="006A74CB"/>
    <w:rsid w:val="006B38AF"/>
    <w:rsid w:val="006C2E55"/>
    <w:rsid w:val="006C7CB1"/>
    <w:rsid w:val="006D1D26"/>
    <w:rsid w:val="006D5FFF"/>
    <w:rsid w:val="006E6CF6"/>
    <w:rsid w:val="006F590C"/>
    <w:rsid w:val="006F771E"/>
    <w:rsid w:val="006F7E2C"/>
    <w:rsid w:val="00703F2D"/>
    <w:rsid w:val="007120B3"/>
    <w:rsid w:val="00712734"/>
    <w:rsid w:val="00724B62"/>
    <w:rsid w:val="00725ABE"/>
    <w:rsid w:val="007260D7"/>
    <w:rsid w:val="007306F7"/>
    <w:rsid w:val="00732B4F"/>
    <w:rsid w:val="007343E2"/>
    <w:rsid w:val="00740E53"/>
    <w:rsid w:val="00751410"/>
    <w:rsid w:val="00754079"/>
    <w:rsid w:val="0076470A"/>
    <w:rsid w:val="00767B69"/>
    <w:rsid w:val="007726FF"/>
    <w:rsid w:val="00773ED9"/>
    <w:rsid w:val="00775B09"/>
    <w:rsid w:val="00776A44"/>
    <w:rsid w:val="00777D6A"/>
    <w:rsid w:val="00780F20"/>
    <w:rsid w:val="00781A83"/>
    <w:rsid w:val="00783365"/>
    <w:rsid w:val="00785AB7"/>
    <w:rsid w:val="00787FC7"/>
    <w:rsid w:val="00792347"/>
    <w:rsid w:val="007A6C20"/>
    <w:rsid w:val="007B1514"/>
    <w:rsid w:val="007B36DD"/>
    <w:rsid w:val="007B5D71"/>
    <w:rsid w:val="007B75A0"/>
    <w:rsid w:val="007B7BF7"/>
    <w:rsid w:val="007D68C3"/>
    <w:rsid w:val="007E205A"/>
    <w:rsid w:val="007E6BFB"/>
    <w:rsid w:val="007F2878"/>
    <w:rsid w:val="007F31BC"/>
    <w:rsid w:val="007F475E"/>
    <w:rsid w:val="007F671A"/>
    <w:rsid w:val="007F7E0B"/>
    <w:rsid w:val="008155B2"/>
    <w:rsid w:val="00823192"/>
    <w:rsid w:val="00825B0C"/>
    <w:rsid w:val="00832688"/>
    <w:rsid w:val="00844042"/>
    <w:rsid w:val="00850A22"/>
    <w:rsid w:val="0085370E"/>
    <w:rsid w:val="008570DA"/>
    <w:rsid w:val="008572ED"/>
    <w:rsid w:val="00862357"/>
    <w:rsid w:val="008646B9"/>
    <w:rsid w:val="00865718"/>
    <w:rsid w:val="008702F7"/>
    <w:rsid w:val="00871CD7"/>
    <w:rsid w:val="00873D13"/>
    <w:rsid w:val="00875C0B"/>
    <w:rsid w:val="008914B1"/>
    <w:rsid w:val="0089283B"/>
    <w:rsid w:val="008952A9"/>
    <w:rsid w:val="008953D7"/>
    <w:rsid w:val="008A40F0"/>
    <w:rsid w:val="008A529B"/>
    <w:rsid w:val="008A66BC"/>
    <w:rsid w:val="008B1A5A"/>
    <w:rsid w:val="008C62DE"/>
    <w:rsid w:val="008C7B7E"/>
    <w:rsid w:val="008D0159"/>
    <w:rsid w:val="008D666D"/>
    <w:rsid w:val="008E0D1C"/>
    <w:rsid w:val="008E2C67"/>
    <w:rsid w:val="008E3C55"/>
    <w:rsid w:val="008E5C52"/>
    <w:rsid w:val="0090265E"/>
    <w:rsid w:val="00903DFA"/>
    <w:rsid w:val="0090512B"/>
    <w:rsid w:val="00905FE6"/>
    <w:rsid w:val="0091001C"/>
    <w:rsid w:val="00911F5D"/>
    <w:rsid w:val="009128E6"/>
    <w:rsid w:val="00917C7C"/>
    <w:rsid w:val="00920168"/>
    <w:rsid w:val="00923407"/>
    <w:rsid w:val="00925335"/>
    <w:rsid w:val="0093225E"/>
    <w:rsid w:val="0093563D"/>
    <w:rsid w:val="00940C4B"/>
    <w:rsid w:val="009464C7"/>
    <w:rsid w:val="009471DF"/>
    <w:rsid w:val="00953356"/>
    <w:rsid w:val="00955475"/>
    <w:rsid w:val="00955EA8"/>
    <w:rsid w:val="00963798"/>
    <w:rsid w:val="009658A3"/>
    <w:rsid w:val="00971994"/>
    <w:rsid w:val="00972CD7"/>
    <w:rsid w:val="00993991"/>
    <w:rsid w:val="009952C6"/>
    <w:rsid w:val="009A696F"/>
    <w:rsid w:val="009A7A9D"/>
    <w:rsid w:val="009B658A"/>
    <w:rsid w:val="009C28B0"/>
    <w:rsid w:val="009C7464"/>
    <w:rsid w:val="009D40CE"/>
    <w:rsid w:val="009E3C28"/>
    <w:rsid w:val="009E4ABD"/>
    <w:rsid w:val="009E71B0"/>
    <w:rsid w:val="009F0F86"/>
    <w:rsid w:val="00A01871"/>
    <w:rsid w:val="00A07B5F"/>
    <w:rsid w:val="00A16D93"/>
    <w:rsid w:val="00A34C4F"/>
    <w:rsid w:val="00A3505A"/>
    <w:rsid w:val="00A3640B"/>
    <w:rsid w:val="00A40F40"/>
    <w:rsid w:val="00A410B0"/>
    <w:rsid w:val="00A44A79"/>
    <w:rsid w:val="00A5242F"/>
    <w:rsid w:val="00A5390E"/>
    <w:rsid w:val="00A55E0E"/>
    <w:rsid w:val="00A65735"/>
    <w:rsid w:val="00A67260"/>
    <w:rsid w:val="00A736C3"/>
    <w:rsid w:val="00A83BEB"/>
    <w:rsid w:val="00A855BF"/>
    <w:rsid w:val="00A90B1B"/>
    <w:rsid w:val="00A90B3A"/>
    <w:rsid w:val="00A910A5"/>
    <w:rsid w:val="00AA040E"/>
    <w:rsid w:val="00AB3044"/>
    <w:rsid w:val="00AB32F3"/>
    <w:rsid w:val="00AB7C90"/>
    <w:rsid w:val="00AC4840"/>
    <w:rsid w:val="00AD1B66"/>
    <w:rsid w:val="00AD2175"/>
    <w:rsid w:val="00AE4BD1"/>
    <w:rsid w:val="00AF55EA"/>
    <w:rsid w:val="00AF6B8C"/>
    <w:rsid w:val="00AF7D06"/>
    <w:rsid w:val="00B024B6"/>
    <w:rsid w:val="00B05633"/>
    <w:rsid w:val="00B07756"/>
    <w:rsid w:val="00B13E7C"/>
    <w:rsid w:val="00B1419F"/>
    <w:rsid w:val="00B15B8A"/>
    <w:rsid w:val="00B20DFA"/>
    <w:rsid w:val="00B248D8"/>
    <w:rsid w:val="00B26358"/>
    <w:rsid w:val="00B27EF2"/>
    <w:rsid w:val="00B373FF"/>
    <w:rsid w:val="00B4071F"/>
    <w:rsid w:val="00B44DF0"/>
    <w:rsid w:val="00B46D47"/>
    <w:rsid w:val="00B477BE"/>
    <w:rsid w:val="00B47F45"/>
    <w:rsid w:val="00B53497"/>
    <w:rsid w:val="00B534AF"/>
    <w:rsid w:val="00B55B9C"/>
    <w:rsid w:val="00B65946"/>
    <w:rsid w:val="00B7409A"/>
    <w:rsid w:val="00B8019F"/>
    <w:rsid w:val="00B8178D"/>
    <w:rsid w:val="00B85AEE"/>
    <w:rsid w:val="00B87F40"/>
    <w:rsid w:val="00B918A0"/>
    <w:rsid w:val="00BA0D32"/>
    <w:rsid w:val="00BA2865"/>
    <w:rsid w:val="00BA4DD6"/>
    <w:rsid w:val="00BA5FA0"/>
    <w:rsid w:val="00BA7193"/>
    <w:rsid w:val="00BB074F"/>
    <w:rsid w:val="00BB4216"/>
    <w:rsid w:val="00BB5666"/>
    <w:rsid w:val="00BB6735"/>
    <w:rsid w:val="00BB7790"/>
    <w:rsid w:val="00BC3926"/>
    <w:rsid w:val="00BD4075"/>
    <w:rsid w:val="00BD5F1E"/>
    <w:rsid w:val="00BE2284"/>
    <w:rsid w:val="00BE2D0F"/>
    <w:rsid w:val="00C068E3"/>
    <w:rsid w:val="00C06F9A"/>
    <w:rsid w:val="00C108A8"/>
    <w:rsid w:val="00C11EAF"/>
    <w:rsid w:val="00C37F6C"/>
    <w:rsid w:val="00C40439"/>
    <w:rsid w:val="00C417DC"/>
    <w:rsid w:val="00C41D2B"/>
    <w:rsid w:val="00C43FD2"/>
    <w:rsid w:val="00C525E6"/>
    <w:rsid w:val="00C53974"/>
    <w:rsid w:val="00C559CD"/>
    <w:rsid w:val="00C83DC4"/>
    <w:rsid w:val="00C8476A"/>
    <w:rsid w:val="00CA3FE2"/>
    <w:rsid w:val="00CB0C71"/>
    <w:rsid w:val="00CB4B32"/>
    <w:rsid w:val="00CB6A0D"/>
    <w:rsid w:val="00CC01F9"/>
    <w:rsid w:val="00CC1E2E"/>
    <w:rsid w:val="00CD150F"/>
    <w:rsid w:val="00CE1DDD"/>
    <w:rsid w:val="00CE2EE8"/>
    <w:rsid w:val="00CE2F3C"/>
    <w:rsid w:val="00CF08EC"/>
    <w:rsid w:val="00CF2F07"/>
    <w:rsid w:val="00CF43D8"/>
    <w:rsid w:val="00CF7421"/>
    <w:rsid w:val="00D10DE8"/>
    <w:rsid w:val="00D15F01"/>
    <w:rsid w:val="00D1711B"/>
    <w:rsid w:val="00D17DF7"/>
    <w:rsid w:val="00D22191"/>
    <w:rsid w:val="00D23B93"/>
    <w:rsid w:val="00D2746A"/>
    <w:rsid w:val="00D300E9"/>
    <w:rsid w:val="00D34ABC"/>
    <w:rsid w:val="00D35071"/>
    <w:rsid w:val="00D4066B"/>
    <w:rsid w:val="00D4167F"/>
    <w:rsid w:val="00D5226E"/>
    <w:rsid w:val="00D52818"/>
    <w:rsid w:val="00D540D4"/>
    <w:rsid w:val="00D57E9A"/>
    <w:rsid w:val="00D6253E"/>
    <w:rsid w:val="00D670B4"/>
    <w:rsid w:val="00D716A0"/>
    <w:rsid w:val="00D87F50"/>
    <w:rsid w:val="00D90A22"/>
    <w:rsid w:val="00D921E9"/>
    <w:rsid w:val="00DB00DD"/>
    <w:rsid w:val="00DC07A3"/>
    <w:rsid w:val="00DC0AE0"/>
    <w:rsid w:val="00DD229F"/>
    <w:rsid w:val="00DD7887"/>
    <w:rsid w:val="00DE26C2"/>
    <w:rsid w:val="00DE27B7"/>
    <w:rsid w:val="00DF4760"/>
    <w:rsid w:val="00DF653E"/>
    <w:rsid w:val="00E064FB"/>
    <w:rsid w:val="00E15836"/>
    <w:rsid w:val="00E1727F"/>
    <w:rsid w:val="00E27E65"/>
    <w:rsid w:val="00E336FA"/>
    <w:rsid w:val="00E37690"/>
    <w:rsid w:val="00E379BC"/>
    <w:rsid w:val="00E52B64"/>
    <w:rsid w:val="00E60910"/>
    <w:rsid w:val="00E642D0"/>
    <w:rsid w:val="00E66CC2"/>
    <w:rsid w:val="00E72AFA"/>
    <w:rsid w:val="00E75B8E"/>
    <w:rsid w:val="00E8302E"/>
    <w:rsid w:val="00E8383F"/>
    <w:rsid w:val="00E84BC6"/>
    <w:rsid w:val="00E91767"/>
    <w:rsid w:val="00EA0E6B"/>
    <w:rsid w:val="00EA54D0"/>
    <w:rsid w:val="00EB128E"/>
    <w:rsid w:val="00EB32D2"/>
    <w:rsid w:val="00EB38DD"/>
    <w:rsid w:val="00EB432E"/>
    <w:rsid w:val="00EB5F89"/>
    <w:rsid w:val="00EC1792"/>
    <w:rsid w:val="00ED2FE2"/>
    <w:rsid w:val="00ED57F3"/>
    <w:rsid w:val="00F02E1C"/>
    <w:rsid w:val="00F04113"/>
    <w:rsid w:val="00F062FF"/>
    <w:rsid w:val="00F132E4"/>
    <w:rsid w:val="00F20354"/>
    <w:rsid w:val="00F22735"/>
    <w:rsid w:val="00F23750"/>
    <w:rsid w:val="00F37311"/>
    <w:rsid w:val="00F40740"/>
    <w:rsid w:val="00F413BD"/>
    <w:rsid w:val="00F56BC6"/>
    <w:rsid w:val="00F60382"/>
    <w:rsid w:val="00F66AE4"/>
    <w:rsid w:val="00F77619"/>
    <w:rsid w:val="00F80C30"/>
    <w:rsid w:val="00F82D24"/>
    <w:rsid w:val="00F8639D"/>
    <w:rsid w:val="00F876F0"/>
    <w:rsid w:val="00F9194E"/>
    <w:rsid w:val="00F91B88"/>
    <w:rsid w:val="00FA11E2"/>
    <w:rsid w:val="00FA7CC5"/>
    <w:rsid w:val="00FB2A53"/>
    <w:rsid w:val="00FC1756"/>
    <w:rsid w:val="00FC63C4"/>
    <w:rsid w:val="00FD4312"/>
    <w:rsid w:val="00FD5B16"/>
    <w:rsid w:val="00FE0D16"/>
    <w:rsid w:val="00FF07D5"/>
    <w:rsid w:val="00FF2C1C"/>
    <w:rsid w:val="00FF3BDE"/>
    <w:rsid w:val="42717D6D"/>
    <w:rsid w:val="68B536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59F98"/>
  <w15:chartTrackingRefBased/>
  <w15:docId w15:val="{D5E0D257-B95D-491B-B79E-A4704DC8F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81A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1A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1A83"/>
  </w:style>
  <w:style w:type="paragraph" w:styleId="Piedepgina">
    <w:name w:val="footer"/>
    <w:basedOn w:val="Normal"/>
    <w:link w:val="PiedepginaCar"/>
    <w:uiPriority w:val="99"/>
    <w:unhideWhenUsed/>
    <w:rsid w:val="00781A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1A83"/>
  </w:style>
  <w:style w:type="table" w:styleId="Tablaconcuadrcula">
    <w:name w:val="Table Grid"/>
    <w:basedOn w:val="Tablanormal"/>
    <w:uiPriority w:val="59"/>
    <w:rsid w:val="00781A83"/>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81A83"/>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347CCC"/>
    <w:pPr>
      <w:ind w:left="720"/>
      <w:contextualSpacing/>
    </w:pPr>
  </w:style>
  <w:style w:type="character" w:styleId="Hipervnculo">
    <w:name w:val="Hyperlink"/>
    <w:basedOn w:val="Fuentedeprrafopredeter"/>
    <w:uiPriority w:val="99"/>
    <w:unhideWhenUsed/>
    <w:rsid w:val="003B3628"/>
    <w:rPr>
      <w:color w:val="0563C1" w:themeColor="hyperlink"/>
      <w:u w:val="single"/>
    </w:rPr>
  </w:style>
  <w:style w:type="character" w:styleId="Mencinsinresolver">
    <w:name w:val="Unresolved Mention"/>
    <w:basedOn w:val="Fuentedeprrafopredeter"/>
    <w:uiPriority w:val="99"/>
    <w:semiHidden/>
    <w:unhideWhenUsed/>
    <w:rsid w:val="003B3628"/>
    <w:rPr>
      <w:color w:val="605E5C"/>
      <w:shd w:val="clear" w:color="auto" w:fill="E1DFDD"/>
    </w:rPr>
  </w:style>
  <w:style w:type="character" w:styleId="Refdecomentario">
    <w:name w:val="annotation reference"/>
    <w:basedOn w:val="Fuentedeprrafopredeter"/>
    <w:uiPriority w:val="99"/>
    <w:semiHidden/>
    <w:unhideWhenUsed/>
    <w:rsid w:val="00B1419F"/>
    <w:rPr>
      <w:sz w:val="16"/>
      <w:szCs w:val="16"/>
    </w:rPr>
  </w:style>
  <w:style w:type="paragraph" w:styleId="Textocomentario">
    <w:name w:val="annotation text"/>
    <w:basedOn w:val="Normal"/>
    <w:link w:val="TextocomentarioCar"/>
    <w:uiPriority w:val="99"/>
    <w:unhideWhenUsed/>
    <w:rsid w:val="00B1419F"/>
    <w:pPr>
      <w:spacing w:line="240" w:lineRule="auto"/>
    </w:pPr>
    <w:rPr>
      <w:sz w:val="20"/>
      <w:szCs w:val="20"/>
    </w:rPr>
  </w:style>
  <w:style w:type="character" w:customStyle="1" w:styleId="TextocomentarioCar">
    <w:name w:val="Texto comentario Car"/>
    <w:basedOn w:val="Fuentedeprrafopredeter"/>
    <w:link w:val="Textocomentario"/>
    <w:uiPriority w:val="99"/>
    <w:rsid w:val="00B1419F"/>
    <w:rPr>
      <w:sz w:val="20"/>
      <w:szCs w:val="20"/>
    </w:rPr>
  </w:style>
  <w:style w:type="paragraph" w:styleId="Asuntodelcomentario">
    <w:name w:val="annotation subject"/>
    <w:basedOn w:val="Textocomentario"/>
    <w:next w:val="Textocomentario"/>
    <w:link w:val="AsuntodelcomentarioCar"/>
    <w:uiPriority w:val="99"/>
    <w:semiHidden/>
    <w:unhideWhenUsed/>
    <w:rsid w:val="00B1419F"/>
    <w:rPr>
      <w:b/>
      <w:bCs/>
    </w:rPr>
  </w:style>
  <w:style w:type="character" w:customStyle="1" w:styleId="AsuntodelcomentarioCar">
    <w:name w:val="Asunto del comentario Car"/>
    <w:basedOn w:val="TextocomentarioCar"/>
    <w:link w:val="Asuntodelcomentario"/>
    <w:uiPriority w:val="99"/>
    <w:semiHidden/>
    <w:rsid w:val="00B141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rreointernosns@supersalud.gov.c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nsnotificacionesjudiciales@supersalud.gov.c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orreointernosns@supersalud.gov.co"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nsnotificacionesjudiciales@supersalud.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a5f8ac-3502-4815-83b6-d63194c370fb">
      <Terms xmlns="http://schemas.microsoft.com/office/infopath/2007/PartnerControls"/>
    </lcf76f155ced4ddcb4097134ff3c332f>
    <TaxCatchAll xmlns="e08f44b2-7c34-4b17-b577-bb772d2280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DB858BD9125B448A3380CE11EFF2417" ma:contentTypeVersion="12" ma:contentTypeDescription="Crear nuevo documento." ma:contentTypeScope="" ma:versionID="2ef40337b3190f5ec84a32b133ec0cbb">
  <xsd:schema xmlns:xsd="http://www.w3.org/2001/XMLSchema" xmlns:xs="http://www.w3.org/2001/XMLSchema" xmlns:p="http://schemas.microsoft.com/office/2006/metadata/properties" xmlns:ns2="b5a5f8ac-3502-4815-83b6-d63194c370fb" xmlns:ns3="e08f44b2-7c34-4b17-b577-bb772d2280b8" targetNamespace="http://schemas.microsoft.com/office/2006/metadata/properties" ma:root="true" ma:fieldsID="6ec4b8fc27f0ad623ed9f07fca21865c" ns2:_="" ns3:_="">
    <xsd:import namespace="b5a5f8ac-3502-4815-83b6-d63194c370fb"/>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5f8ac-3502-4815-83b6-d63194c37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C2AB04-6644-44B7-B061-B7D2C2D6277C}">
  <ds:schemaRefs>
    <ds:schemaRef ds:uri="http://schemas.openxmlformats.org/officeDocument/2006/bibliography"/>
  </ds:schemaRefs>
</ds:datastoreItem>
</file>

<file path=customXml/itemProps2.xml><?xml version="1.0" encoding="utf-8"?>
<ds:datastoreItem xmlns:ds="http://schemas.openxmlformats.org/officeDocument/2006/customXml" ds:itemID="{2CAD910C-6AB7-48F1-ABCD-0F3CDCB99972}">
  <ds:schemaRefs>
    <ds:schemaRef ds:uri="http://schemas.microsoft.com/office/2006/metadata/properties"/>
    <ds:schemaRef ds:uri="http://schemas.microsoft.com/office/infopath/2007/PartnerControls"/>
    <ds:schemaRef ds:uri="b5a5f8ac-3502-4815-83b6-d63194c370fb"/>
    <ds:schemaRef ds:uri="e08f44b2-7c34-4b17-b577-bb772d2280b8"/>
  </ds:schemaRefs>
</ds:datastoreItem>
</file>

<file path=customXml/itemProps3.xml><?xml version="1.0" encoding="utf-8"?>
<ds:datastoreItem xmlns:ds="http://schemas.openxmlformats.org/officeDocument/2006/customXml" ds:itemID="{FDFA9394-6040-4421-92DC-36A0186C8276}">
  <ds:schemaRefs>
    <ds:schemaRef ds:uri="http://schemas.microsoft.com/sharepoint/v3/contenttype/forms"/>
  </ds:schemaRefs>
</ds:datastoreItem>
</file>

<file path=customXml/itemProps4.xml><?xml version="1.0" encoding="utf-8"?>
<ds:datastoreItem xmlns:ds="http://schemas.openxmlformats.org/officeDocument/2006/customXml" ds:itemID="{9EBFC0A8-3F51-4804-869E-9C617FAA6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a5f8ac-3502-4815-83b6-d63194c370fb"/>
    <ds:schemaRef ds:uri="e08f44b2-7c34-4b17-b577-bb772d22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2206</Words>
  <Characters>12133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Plantilla procedimiento - SIG</vt:lpstr>
    </vt:vector>
  </TitlesOfParts>
  <Company/>
  <LinksUpToDate>false</LinksUpToDate>
  <CharactersWithSpaces>14311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procedimiento - SIG</dc:title>
  <dc:subject/>
  <dc:creator>Yulieth Diaz Gonzalez</dc:creator>
  <cp:keywords>Plantilla procedimiento - SIG</cp:keywords>
  <dc:description/>
  <cp:lastModifiedBy>Laura Valentina Bernal Avila</cp:lastModifiedBy>
  <cp:revision>9</cp:revision>
  <dcterms:created xsi:type="dcterms:W3CDTF">2026-03-26T20:45:00Z</dcterms:created>
  <dcterms:modified xsi:type="dcterms:W3CDTF">2026-05-25T15:24:00Z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0x0101009DB858BD9125B448A3380CE11EFF2417</vt:lpwstr>
  </property>
  <property fmtid="{D5CDD505-2E9C-101B-9397-08002B2CF9AE}" pid="3" name="_dlc_DocIdItemGuid">
    <vt:lpwstr>c9942c27-d5a5-408e-be91-03f017b7a49c</vt:lpwstr>
  </property>
</Properties>
</file>