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CBBC" w14:textId="77777777" w:rsidR="00245200" w:rsidRPr="005405A4" w:rsidRDefault="00245200" w:rsidP="005405A4">
      <w:pPr>
        <w:rPr>
          <w:rFonts w:ascii="Arial" w:hAnsi="Arial" w:cs="Arial"/>
          <w:i/>
          <w:iCs/>
          <w:color w:val="808080" w:themeColor="background1" w:themeShade="80"/>
          <w:sz w:val="24"/>
          <w:szCs w:val="24"/>
          <w:shd w:val="clear" w:color="auto" w:fill="FFFFFF"/>
        </w:rPr>
      </w:pPr>
    </w:p>
    <w:p w14:paraId="6EFD649F" w14:textId="439E31F1"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OBJETIVO</w:t>
      </w:r>
    </w:p>
    <w:p w14:paraId="1AFAF503" w14:textId="47B407CF" w:rsidR="00F82D24" w:rsidRPr="00553B1F" w:rsidRDefault="00895D93" w:rsidP="005405A4">
      <w:pPr>
        <w:rPr>
          <w:rFonts w:ascii="Arial" w:hAnsi="Arial" w:cs="Arial"/>
          <w:color w:val="000000" w:themeColor="text1"/>
          <w:sz w:val="24"/>
          <w:szCs w:val="24"/>
          <w:shd w:val="clear" w:color="auto" w:fill="FFFFFF"/>
        </w:rPr>
      </w:pPr>
      <w:r w:rsidRPr="00553B1F">
        <w:rPr>
          <w:rFonts w:ascii="Arial" w:hAnsi="Arial" w:cs="Arial"/>
          <w:color w:val="000000" w:themeColor="text1"/>
          <w:sz w:val="24"/>
          <w:szCs w:val="24"/>
          <w:shd w:val="clear" w:color="auto" w:fill="FFFFFF"/>
        </w:rPr>
        <w:t xml:space="preserve">Definir las actividades para </w:t>
      </w:r>
      <w:r w:rsidR="00FD3B25" w:rsidRPr="00553B1F">
        <w:rPr>
          <w:rFonts w:ascii="Arial" w:hAnsi="Arial" w:cs="Arial"/>
          <w:color w:val="000000" w:themeColor="text1"/>
          <w:sz w:val="24"/>
          <w:szCs w:val="24"/>
          <w:shd w:val="clear" w:color="auto" w:fill="FFFFFF"/>
        </w:rPr>
        <w:t xml:space="preserve">evaluar la probabilidad de perdida de procesos judiciales y laudos arbitrales </w:t>
      </w:r>
      <w:r w:rsidRPr="00553B1F">
        <w:rPr>
          <w:rFonts w:ascii="Arial" w:hAnsi="Arial" w:cs="Arial"/>
          <w:color w:val="000000" w:themeColor="text1"/>
          <w:sz w:val="24"/>
          <w:szCs w:val="24"/>
          <w:shd w:val="clear" w:color="auto" w:fill="FFFFFF"/>
        </w:rPr>
        <w:t>para generar valor público y contribuir a la legalidad, transparencia e integridad en el desempeño de las funciones de la entidad. </w:t>
      </w:r>
    </w:p>
    <w:p w14:paraId="0649F4C5" w14:textId="77777777" w:rsidR="00AC2B97" w:rsidRPr="00553B1F" w:rsidRDefault="00AC2B97" w:rsidP="005405A4">
      <w:pPr>
        <w:rPr>
          <w:rFonts w:ascii="Arial" w:hAnsi="Arial" w:cs="Arial"/>
          <w:color w:val="000000" w:themeColor="text1"/>
          <w:sz w:val="24"/>
          <w:szCs w:val="24"/>
          <w:shd w:val="clear" w:color="auto" w:fill="FFFFFF"/>
        </w:rPr>
      </w:pPr>
    </w:p>
    <w:p w14:paraId="28CCD844" w14:textId="7999C3D7" w:rsidR="00780F20" w:rsidRPr="00553B1F" w:rsidRDefault="00780F20" w:rsidP="00F23750">
      <w:pPr>
        <w:pStyle w:val="Ttulo1"/>
        <w:spacing w:before="0" w:line="360" w:lineRule="auto"/>
        <w:rPr>
          <w:rFonts w:ascii="Arial" w:hAnsi="Arial" w:cs="Arial"/>
          <w:b/>
          <w:bCs/>
          <w:sz w:val="24"/>
          <w:szCs w:val="24"/>
          <w:shd w:val="clear" w:color="auto" w:fill="FFFFFF"/>
        </w:rPr>
      </w:pPr>
      <w:r w:rsidRPr="00553B1F">
        <w:rPr>
          <w:rFonts w:ascii="Arial" w:hAnsi="Arial" w:cs="Arial"/>
          <w:b/>
          <w:bCs/>
          <w:sz w:val="24"/>
          <w:szCs w:val="24"/>
          <w:shd w:val="clear" w:color="auto" w:fill="FFFFFF"/>
        </w:rPr>
        <w:t>ALCANCE </w:t>
      </w:r>
    </w:p>
    <w:p w14:paraId="0D4D4CAE" w14:textId="11D907B9" w:rsidR="00F82D24" w:rsidRPr="00553B1F" w:rsidRDefault="000C3B29" w:rsidP="005405A4">
      <w:pPr>
        <w:rPr>
          <w:rFonts w:ascii="Arial" w:hAnsi="Arial" w:cs="Arial"/>
          <w:color w:val="000000" w:themeColor="text1"/>
          <w:sz w:val="24"/>
          <w:szCs w:val="24"/>
          <w:shd w:val="clear" w:color="auto" w:fill="FFFFFF"/>
        </w:rPr>
      </w:pPr>
      <w:r w:rsidRPr="00553B1F">
        <w:rPr>
          <w:rFonts w:ascii="Arial" w:hAnsi="Arial" w:cs="Arial"/>
          <w:color w:val="000000" w:themeColor="text1"/>
          <w:sz w:val="24"/>
          <w:szCs w:val="24"/>
          <w:shd w:val="clear" w:color="auto" w:fill="FFFFFF"/>
        </w:rPr>
        <w:t xml:space="preserve">Inicia con </w:t>
      </w:r>
      <w:r w:rsidR="00AD0AA7" w:rsidRPr="00553B1F">
        <w:rPr>
          <w:rFonts w:ascii="Arial" w:hAnsi="Arial" w:cs="Arial"/>
          <w:color w:val="000000" w:themeColor="text1"/>
          <w:sz w:val="24"/>
          <w:szCs w:val="24"/>
          <w:shd w:val="clear" w:color="auto" w:fill="FFFFFF"/>
        </w:rPr>
        <w:t xml:space="preserve">la </w:t>
      </w:r>
      <w:r w:rsidR="00AD0AA7" w:rsidRPr="00553B1F">
        <w:rPr>
          <w:rFonts w:ascii="Arial" w:hAnsi="Arial" w:cs="Arial"/>
          <w:sz w:val="24"/>
          <w:szCs w:val="24"/>
        </w:rPr>
        <w:t>Calificar del riesgo procesal</w:t>
      </w:r>
      <w:r w:rsidR="00AD0AA7" w:rsidRPr="00553B1F">
        <w:rPr>
          <w:rFonts w:ascii="Arial" w:hAnsi="Arial" w:cs="Arial"/>
          <w:color w:val="000000" w:themeColor="text1"/>
          <w:sz w:val="24"/>
          <w:szCs w:val="24"/>
          <w:shd w:val="clear" w:color="auto" w:fill="FFFFFF"/>
        </w:rPr>
        <w:t xml:space="preserve"> </w:t>
      </w:r>
      <w:r w:rsidRPr="00553B1F">
        <w:rPr>
          <w:rFonts w:ascii="Arial" w:hAnsi="Arial" w:cs="Arial"/>
          <w:color w:val="000000" w:themeColor="text1"/>
          <w:sz w:val="24"/>
          <w:szCs w:val="24"/>
          <w:shd w:val="clear" w:color="auto" w:fill="FFFFFF"/>
        </w:rPr>
        <w:t xml:space="preserve">y finaliza con </w:t>
      </w:r>
      <w:r w:rsidR="00570CDA" w:rsidRPr="00553B1F">
        <w:rPr>
          <w:rFonts w:ascii="Arial" w:hAnsi="Arial" w:cs="Arial"/>
          <w:sz w:val="24"/>
          <w:szCs w:val="24"/>
        </w:rPr>
        <w:t>proceso Gestión Financiera actividad clave de éxito "1. Actividades Contables", Subactividad "1.4 Litigios y Demandas"</w:t>
      </w:r>
    </w:p>
    <w:p w14:paraId="4208A1EE" w14:textId="77777777" w:rsidR="00AC2B97" w:rsidRPr="005405A4" w:rsidRDefault="00AC2B97" w:rsidP="005405A4">
      <w:pPr>
        <w:rPr>
          <w:rFonts w:ascii="Arial" w:hAnsi="Arial" w:cs="Arial"/>
          <w:i/>
          <w:iCs/>
          <w:color w:val="808080" w:themeColor="background1" w:themeShade="80"/>
          <w:sz w:val="24"/>
          <w:szCs w:val="24"/>
          <w:shd w:val="clear" w:color="auto" w:fill="FFFFFF"/>
        </w:rPr>
      </w:pPr>
    </w:p>
    <w:p w14:paraId="58715370" w14:textId="4D8548F9"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DEFINICIONES</w:t>
      </w:r>
    </w:p>
    <w:p w14:paraId="2D716606" w14:textId="77777777"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0B91FC64" w14:textId="77777777" w:rsidR="008914B1" w:rsidRPr="005405A4" w:rsidRDefault="008914B1" w:rsidP="005405A4">
      <w:pPr>
        <w:rPr>
          <w:rFonts w:ascii="Arial" w:hAnsi="Arial" w:cs="Arial"/>
          <w:i/>
          <w:iCs/>
          <w:color w:val="808080" w:themeColor="background1" w:themeShade="80"/>
          <w:sz w:val="24"/>
          <w:szCs w:val="24"/>
          <w:shd w:val="clear" w:color="auto" w:fill="FFFFFF"/>
        </w:rPr>
      </w:pPr>
    </w:p>
    <w:p w14:paraId="09BC5220" w14:textId="105E4537" w:rsidR="005129B1" w:rsidRPr="00955475" w:rsidRDefault="005129B1"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ABREVIATURAS</w:t>
      </w:r>
    </w:p>
    <w:p w14:paraId="0B51190A" w14:textId="77777777"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23985815" w14:textId="77777777" w:rsidR="00AF7D06" w:rsidRDefault="00AF7D06" w:rsidP="00F23750">
      <w:pPr>
        <w:spacing w:after="0" w:line="360" w:lineRule="auto"/>
        <w:rPr>
          <w:rFonts w:ascii="Arial" w:hAnsi="Arial" w:cs="Arial"/>
          <w:i/>
          <w:iCs/>
          <w:color w:val="808080" w:themeColor="background1" w:themeShade="80"/>
          <w:sz w:val="24"/>
          <w:szCs w:val="24"/>
          <w:shd w:val="clear" w:color="auto" w:fill="FFFFFF"/>
        </w:rPr>
      </w:pPr>
    </w:p>
    <w:p w14:paraId="62693342" w14:textId="068E4FDD" w:rsidR="00AF7D06" w:rsidRDefault="00AF7D06" w:rsidP="00AF7D06">
      <w:pPr>
        <w:pStyle w:val="Ttulo1"/>
        <w:spacing w:before="0" w:line="360" w:lineRule="auto"/>
        <w:rPr>
          <w:rFonts w:ascii="Arial" w:hAnsi="Arial" w:cs="Arial"/>
          <w:b/>
          <w:bCs/>
          <w:sz w:val="24"/>
          <w:szCs w:val="24"/>
          <w:shd w:val="clear" w:color="auto" w:fill="FFFFFF"/>
        </w:rPr>
      </w:pPr>
      <w:r w:rsidRPr="00AF7D06">
        <w:rPr>
          <w:rFonts w:ascii="Arial" w:hAnsi="Arial" w:cs="Arial"/>
          <w:b/>
          <w:bCs/>
          <w:sz w:val="24"/>
          <w:szCs w:val="24"/>
          <w:shd w:val="clear" w:color="auto" w:fill="FFFFFF"/>
        </w:rPr>
        <w:t xml:space="preserve">LINEAMIENTOS GENERALES </w:t>
      </w:r>
      <w:r>
        <w:rPr>
          <w:rFonts w:ascii="Arial" w:hAnsi="Arial" w:cs="Arial"/>
          <w:b/>
          <w:bCs/>
          <w:sz w:val="24"/>
          <w:szCs w:val="24"/>
          <w:shd w:val="clear" w:color="auto" w:fill="FFFFFF"/>
        </w:rPr>
        <w:t xml:space="preserve">O POLÍTICAS DE OPERACIÓN </w:t>
      </w:r>
    </w:p>
    <w:p w14:paraId="460BB252" w14:textId="77777777" w:rsidR="00DF7D87"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57E23D66" w14:textId="77777777" w:rsidR="00AC2B97" w:rsidRDefault="00AC2B97" w:rsidP="00DF7D87">
      <w:pPr>
        <w:spacing w:after="0" w:line="360" w:lineRule="auto"/>
        <w:rPr>
          <w:rFonts w:ascii="Arial" w:hAnsi="Arial" w:cs="Arial"/>
          <w:color w:val="000000" w:themeColor="text1"/>
          <w:sz w:val="24"/>
          <w:szCs w:val="24"/>
          <w:shd w:val="clear" w:color="auto" w:fill="FFFFFF"/>
        </w:rPr>
      </w:pPr>
    </w:p>
    <w:p w14:paraId="735F7B9E" w14:textId="13BC4951" w:rsidR="77B4315B" w:rsidRDefault="77B4315B" w:rsidP="3B6E13BF">
      <w:pPr>
        <w:pStyle w:val="Ttulo1"/>
        <w:spacing w:before="0" w:line="360" w:lineRule="auto"/>
        <w:rPr>
          <w:rFonts w:ascii="Arial" w:eastAsia="Arial" w:hAnsi="Arial" w:cs="Arial"/>
          <w:sz w:val="24"/>
          <w:szCs w:val="24"/>
          <w:lang w:val="es-ES"/>
        </w:rPr>
      </w:pPr>
      <w:r w:rsidRPr="3B6E13BF">
        <w:rPr>
          <w:rFonts w:ascii="Arial" w:eastAsia="Arial" w:hAnsi="Arial" w:cs="Arial"/>
          <w:b/>
          <w:bCs/>
          <w:sz w:val="24"/>
          <w:szCs w:val="24"/>
        </w:rPr>
        <w:lastRenderedPageBreak/>
        <w:t>RESPONSABLE DEL PROCEDIMIENTO</w:t>
      </w:r>
    </w:p>
    <w:p w14:paraId="563B17EC" w14:textId="5A431BB5" w:rsidR="77B4315B" w:rsidRDefault="77B4315B" w:rsidP="3B6E13BF">
      <w:pPr>
        <w:spacing w:after="0" w:line="360" w:lineRule="auto"/>
        <w:rPr>
          <w:rFonts w:ascii="Arial" w:eastAsia="Arial" w:hAnsi="Arial" w:cs="Arial"/>
          <w:color w:val="000000" w:themeColor="text1"/>
          <w:sz w:val="24"/>
          <w:szCs w:val="24"/>
          <w:lang w:val="es-ES"/>
        </w:rPr>
      </w:pPr>
      <w:r w:rsidRPr="3B6E13BF">
        <w:rPr>
          <w:rFonts w:ascii="Arial" w:eastAsia="Arial" w:hAnsi="Arial" w:cs="Arial"/>
          <w:color w:val="000000" w:themeColor="text1"/>
          <w:sz w:val="24"/>
          <w:szCs w:val="24"/>
        </w:rPr>
        <w:t>Dirección jurídica</w:t>
      </w:r>
    </w:p>
    <w:p w14:paraId="64E21BFC" w14:textId="6CE256BA" w:rsidR="77B4315B" w:rsidRDefault="77B4315B" w:rsidP="3B6E13BF">
      <w:pPr>
        <w:pStyle w:val="Ttulo1"/>
        <w:spacing w:before="0" w:line="360" w:lineRule="auto"/>
        <w:rPr>
          <w:rFonts w:ascii="Arial" w:eastAsia="Arial" w:hAnsi="Arial" w:cs="Arial"/>
          <w:sz w:val="24"/>
          <w:szCs w:val="24"/>
        </w:rPr>
      </w:pPr>
      <w:r w:rsidRPr="3B6E13BF">
        <w:rPr>
          <w:rFonts w:ascii="Arial" w:eastAsia="Arial" w:hAnsi="Arial" w:cs="Arial"/>
          <w:b/>
          <w:bCs/>
          <w:sz w:val="24"/>
          <w:szCs w:val="24"/>
        </w:rPr>
        <w:t>DIAGRAMA DE FLUJO</w:t>
      </w:r>
    </w:p>
    <w:p w14:paraId="4B3797FF" w14:textId="68A9167A" w:rsidR="77B4315B" w:rsidRDefault="77B4315B" w:rsidP="3B6E13BF">
      <w:pPr>
        <w:rPr>
          <w:rFonts w:ascii="Arial" w:eastAsia="Arial" w:hAnsi="Arial" w:cs="Arial"/>
          <w:color w:val="000000" w:themeColor="text1"/>
          <w:sz w:val="24"/>
          <w:szCs w:val="24"/>
        </w:rPr>
      </w:pPr>
      <w:r w:rsidRPr="3B6E13BF">
        <w:rPr>
          <w:rFonts w:ascii="Arial" w:eastAsia="Arial" w:hAnsi="Arial" w:cs="Arial"/>
          <w:color w:val="000000" w:themeColor="text1"/>
          <w:sz w:val="24"/>
          <w:szCs w:val="24"/>
        </w:rPr>
        <w:t>Se encuentra anexo</w:t>
      </w:r>
    </w:p>
    <w:p w14:paraId="3C33FD0E" w14:textId="735A6CFD" w:rsidR="3B6E13BF" w:rsidRDefault="3B6E13BF"/>
    <w:p w14:paraId="77CEF722" w14:textId="2D00D9CC"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DESARROLLO -</w:t>
      </w:r>
      <w:r w:rsidR="007E2E39">
        <w:rPr>
          <w:rFonts w:ascii="Arial" w:hAnsi="Arial" w:cs="Arial"/>
          <w:b/>
          <w:bCs/>
          <w:sz w:val="24"/>
          <w:szCs w:val="24"/>
          <w:shd w:val="clear" w:color="auto" w:fill="FFFFFF"/>
        </w:rPr>
        <w:t xml:space="preserve"> </w:t>
      </w:r>
      <w:r w:rsidRPr="00955475">
        <w:rPr>
          <w:rFonts w:ascii="Arial" w:hAnsi="Arial" w:cs="Arial"/>
          <w:b/>
          <w:bCs/>
          <w:sz w:val="24"/>
          <w:szCs w:val="24"/>
          <w:shd w:val="clear" w:color="auto" w:fill="FFFFFF"/>
        </w:rPr>
        <w:t>DESCRIPCIÓN</w:t>
      </w:r>
    </w:p>
    <w:p w14:paraId="1F661241" w14:textId="77777777" w:rsidR="00490AEE" w:rsidRPr="008E3C55" w:rsidRDefault="00490AEE" w:rsidP="00955475">
      <w:pPr>
        <w:spacing w:after="0" w:line="240" w:lineRule="auto"/>
        <w:rPr>
          <w:rFonts w:ascii="Arial" w:eastAsiaTheme="majorEastAsia" w:hAnsi="Arial" w:cs="Arial"/>
          <w:b/>
          <w:bCs/>
          <w:sz w:val="24"/>
          <w:szCs w:val="24"/>
          <w:shd w:val="clear" w:color="auto" w:fill="FFFFFF"/>
        </w:rPr>
      </w:pPr>
    </w:p>
    <w:tbl>
      <w:tblPr>
        <w:tblStyle w:val="Tablaconcuadrcula"/>
        <w:tblW w:w="13749" w:type="dxa"/>
        <w:tblInd w:w="-431" w:type="dxa"/>
        <w:tblCellMar>
          <w:left w:w="28" w:type="dxa"/>
          <w:right w:w="28" w:type="dxa"/>
        </w:tblCellMar>
        <w:tblLook w:val="04A0" w:firstRow="1" w:lastRow="0" w:firstColumn="1" w:lastColumn="0" w:noHBand="0" w:noVBand="1"/>
      </w:tblPr>
      <w:tblGrid>
        <w:gridCol w:w="426"/>
        <w:gridCol w:w="7370"/>
        <w:gridCol w:w="1984"/>
        <w:gridCol w:w="1701"/>
        <w:gridCol w:w="2268"/>
      </w:tblGrid>
      <w:tr w:rsidR="00963798" w:rsidRPr="00D9357B" w14:paraId="65BF2E3A" w14:textId="77777777" w:rsidTr="005353EF">
        <w:trPr>
          <w:trHeight w:val="347"/>
          <w:tblHeader/>
        </w:trPr>
        <w:tc>
          <w:tcPr>
            <w:tcW w:w="426" w:type="dxa"/>
            <w:shd w:val="clear" w:color="auto" w:fill="33CCCC"/>
            <w:vAlign w:val="center"/>
          </w:tcPr>
          <w:p w14:paraId="48662869" w14:textId="4F5204A7" w:rsidR="00963798" w:rsidRPr="00D9357B" w:rsidRDefault="00963798" w:rsidP="005353EF">
            <w:pPr>
              <w:jc w:val="center"/>
              <w:rPr>
                <w:rFonts w:ascii="Arial" w:hAnsi="Arial" w:cs="Arial"/>
                <w:b/>
                <w:bCs/>
              </w:rPr>
            </w:pPr>
            <w:r w:rsidRPr="00D9357B">
              <w:rPr>
                <w:rFonts w:ascii="Arial" w:hAnsi="Arial" w:cs="Arial"/>
                <w:b/>
                <w:bCs/>
              </w:rPr>
              <w:t>N.</w:t>
            </w:r>
          </w:p>
        </w:tc>
        <w:tc>
          <w:tcPr>
            <w:tcW w:w="7370" w:type="dxa"/>
            <w:shd w:val="clear" w:color="auto" w:fill="33CCCC"/>
            <w:vAlign w:val="center"/>
          </w:tcPr>
          <w:p w14:paraId="3753FD9A" w14:textId="749D0F70" w:rsidR="00963798" w:rsidRPr="00D9357B" w:rsidRDefault="00963798" w:rsidP="007F31BC">
            <w:pPr>
              <w:jc w:val="center"/>
              <w:rPr>
                <w:rFonts w:ascii="Arial" w:hAnsi="Arial" w:cs="Arial"/>
                <w:b/>
                <w:bCs/>
              </w:rPr>
            </w:pPr>
            <w:r w:rsidRPr="00D9357B">
              <w:rPr>
                <w:rFonts w:ascii="Arial" w:hAnsi="Arial" w:cs="Arial"/>
                <w:b/>
                <w:bCs/>
              </w:rPr>
              <w:t>Actividad</w:t>
            </w:r>
          </w:p>
        </w:tc>
        <w:tc>
          <w:tcPr>
            <w:tcW w:w="1984" w:type="dxa"/>
            <w:shd w:val="clear" w:color="auto" w:fill="33CCCC"/>
            <w:vAlign w:val="center"/>
          </w:tcPr>
          <w:p w14:paraId="2C34BC69" w14:textId="5D936930" w:rsidR="00963798" w:rsidRPr="00D9357B" w:rsidRDefault="00963798" w:rsidP="007F31BC">
            <w:pPr>
              <w:jc w:val="center"/>
              <w:rPr>
                <w:rFonts w:ascii="Arial" w:hAnsi="Arial" w:cs="Arial"/>
                <w:b/>
                <w:bCs/>
              </w:rPr>
            </w:pPr>
            <w:r w:rsidRPr="00D9357B">
              <w:rPr>
                <w:rFonts w:ascii="Arial" w:hAnsi="Arial" w:cs="Arial"/>
                <w:b/>
                <w:bCs/>
              </w:rPr>
              <w:t>Responsable</w:t>
            </w:r>
          </w:p>
        </w:tc>
        <w:tc>
          <w:tcPr>
            <w:tcW w:w="1701" w:type="dxa"/>
            <w:shd w:val="clear" w:color="auto" w:fill="33CCCC"/>
            <w:vAlign w:val="center"/>
          </w:tcPr>
          <w:p w14:paraId="7E2CDC36" w14:textId="03BF0236" w:rsidR="00963798" w:rsidRPr="00D9357B" w:rsidRDefault="00963798" w:rsidP="007F31BC">
            <w:pPr>
              <w:jc w:val="center"/>
              <w:rPr>
                <w:rFonts w:ascii="Arial" w:hAnsi="Arial" w:cs="Arial"/>
                <w:b/>
                <w:bCs/>
              </w:rPr>
            </w:pPr>
            <w:r w:rsidRPr="00D9357B">
              <w:rPr>
                <w:rFonts w:ascii="Arial" w:hAnsi="Arial" w:cs="Arial"/>
                <w:b/>
                <w:bCs/>
              </w:rPr>
              <w:t>Tiempo o frecuencia si aplica</w:t>
            </w:r>
          </w:p>
        </w:tc>
        <w:tc>
          <w:tcPr>
            <w:tcW w:w="2268" w:type="dxa"/>
            <w:shd w:val="clear" w:color="auto" w:fill="33CCCC"/>
            <w:vAlign w:val="center"/>
          </w:tcPr>
          <w:p w14:paraId="2A425660" w14:textId="5E205602" w:rsidR="00963798" w:rsidRPr="00D9357B" w:rsidRDefault="00963798" w:rsidP="007F31BC">
            <w:pPr>
              <w:jc w:val="center"/>
              <w:rPr>
                <w:rFonts w:ascii="Arial" w:hAnsi="Arial" w:cs="Arial"/>
                <w:b/>
                <w:bCs/>
              </w:rPr>
            </w:pPr>
            <w:r w:rsidRPr="00D9357B">
              <w:rPr>
                <w:rFonts w:ascii="Arial" w:hAnsi="Arial" w:cs="Arial"/>
                <w:b/>
                <w:bCs/>
              </w:rPr>
              <w:t>Registro</w:t>
            </w:r>
          </w:p>
        </w:tc>
      </w:tr>
      <w:tr w:rsidR="00787CF4" w14:paraId="666CB462" w14:textId="77777777">
        <w:tc>
          <w:tcPr>
            <w:tcW w:w="426" w:type="dxa"/>
          </w:tcPr>
          <w:p w14:paraId="53FE9745" w14:textId="41F4D526" w:rsidR="00787CF4" w:rsidRPr="00F64D69" w:rsidRDefault="007D0625">
            <w:pPr>
              <w:rPr>
                <w:b/>
                <w:bCs/>
              </w:rPr>
            </w:pPr>
            <w:r w:rsidRPr="00F64D69">
              <w:rPr>
                <w:b/>
                <w:bCs/>
              </w:rPr>
              <w:t>1</w:t>
            </w:r>
          </w:p>
        </w:tc>
        <w:tc>
          <w:tcPr>
            <w:tcW w:w="7370" w:type="dxa"/>
          </w:tcPr>
          <w:p w14:paraId="287E966A" w14:textId="77777777" w:rsidR="00787CF4" w:rsidRDefault="004365A5">
            <w:r>
              <w:rPr>
                <w:b/>
              </w:rPr>
              <w:t>Calificar del riesgo procesal</w:t>
            </w:r>
            <w:r>
              <w:br/>
              <w:t>El abogado a cargo del proceso califica el riesgo procesal de acuerdo con los parámetros y metodologías adoptadas por la ANDJE.</w:t>
            </w:r>
          </w:p>
          <w:p w14:paraId="68FE03A9" w14:textId="77777777" w:rsidR="007D0625" w:rsidRDefault="007D0625"/>
        </w:tc>
        <w:tc>
          <w:tcPr>
            <w:tcW w:w="1984" w:type="dxa"/>
          </w:tcPr>
          <w:p w14:paraId="03339805" w14:textId="77777777" w:rsidR="007D0625" w:rsidRDefault="007D0625"/>
          <w:p w14:paraId="73DF632D" w14:textId="2E836E84" w:rsidR="00787CF4" w:rsidRDefault="007D0625">
            <w:r>
              <w:t>Abogado a cargo</w:t>
            </w:r>
          </w:p>
        </w:tc>
        <w:tc>
          <w:tcPr>
            <w:tcW w:w="1701" w:type="dxa"/>
          </w:tcPr>
          <w:p w14:paraId="72AFD7EF" w14:textId="77777777" w:rsidR="007D0625" w:rsidRDefault="007D0625"/>
          <w:p w14:paraId="5BECAE0E" w14:textId="6D5BB807" w:rsidR="00787CF4" w:rsidRDefault="004365A5">
            <w:r>
              <w:t>Sin definir</w:t>
            </w:r>
          </w:p>
        </w:tc>
        <w:tc>
          <w:tcPr>
            <w:tcW w:w="2268" w:type="dxa"/>
          </w:tcPr>
          <w:p w14:paraId="7DBDC6C6" w14:textId="77777777" w:rsidR="007D0625" w:rsidRDefault="007D0625"/>
          <w:p w14:paraId="21DE40E7" w14:textId="5EFBD240" w:rsidR="00787CF4" w:rsidRDefault="004365A5">
            <w:r>
              <w:t>Sin definir</w:t>
            </w:r>
          </w:p>
        </w:tc>
      </w:tr>
      <w:tr w:rsidR="00787CF4" w14:paraId="6EE2D33D" w14:textId="77777777">
        <w:tc>
          <w:tcPr>
            <w:tcW w:w="426" w:type="dxa"/>
          </w:tcPr>
          <w:p w14:paraId="735104F7" w14:textId="02972A6E" w:rsidR="00787CF4" w:rsidRPr="00F64D69" w:rsidRDefault="00F64D69">
            <w:pPr>
              <w:rPr>
                <w:b/>
                <w:bCs/>
              </w:rPr>
            </w:pPr>
            <w:r w:rsidRPr="00F64D69">
              <w:rPr>
                <w:b/>
                <w:bCs/>
              </w:rPr>
              <w:t>2</w:t>
            </w:r>
          </w:p>
        </w:tc>
        <w:tc>
          <w:tcPr>
            <w:tcW w:w="7370" w:type="dxa"/>
          </w:tcPr>
          <w:p w14:paraId="25229678" w14:textId="77777777" w:rsidR="00787CF4" w:rsidRDefault="004365A5">
            <w:r>
              <w:rPr>
                <w:b/>
              </w:rPr>
              <w:t>Determinar o ajustar el valor las pretensiones a la realidad</w:t>
            </w:r>
            <w:r>
              <w:br/>
              <w:t>El abogado a cargo del proceso determina o ajusta el valor las pretensiones de la parte demandante a la realidad.</w:t>
            </w:r>
          </w:p>
          <w:p w14:paraId="0638711E" w14:textId="77777777" w:rsidR="00F53C72" w:rsidRDefault="00F53C72"/>
        </w:tc>
        <w:tc>
          <w:tcPr>
            <w:tcW w:w="1984" w:type="dxa"/>
          </w:tcPr>
          <w:p w14:paraId="2B65668E" w14:textId="77777777" w:rsidR="00F53C72" w:rsidRDefault="00F53C72"/>
          <w:p w14:paraId="3E584944" w14:textId="16E35CA2" w:rsidR="00787CF4" w:rsidRDefault="00F53C72">
            <w:r>
              <w:t>Abogado a cargo</w:t>
            </w:r>
          </w:p>
        </w:tc>
        <w:tc>
          <w:tcPr>
            <w:tcW w:w="1701" w:type="dxa"/>
          </w:tcPr>
          <w:p w14:paraId="0C7D2681" w14:textId="77777777" w:rsidR="00F53C72" w:rsidRDefault="00F53C72"/>
          <w:p w14:paraId="5BFF8679" w14:textId="6C1C15CC" w:rsidR="00787CF4" w:rsidRDefault="004365A5">
            <w:r>
              <w:t>Sin definir</w:t>
            </w:r>
          </w:p>
        </w:tc>
        <w:tc>
          <w:tcPr>
            <w:tcW w:w="2268" w:type="dxa"/>
          </w:tcPr>
          <w:p w14:paraId="42AB2B62" w14:textId="77777777" w:rsidR="00F53C72" w:rsidRDefault="00F53C72"/>
          <w:p w14:paraId="74D6C8D0" w14:textId="383ACBDA" w:rsidR="00787CF4" w:rsidRDefault="004365A5">
            <w:r>
              <w:t>Sin definir</w:t>
            </w:r>
          </w:p>
        </w:tc>
      </w:tr>
      <w:tr w:rsidR="00787CF4" w14:paraId="29EC8CAD" w14:textId="77777777">
        <w:tc>
          <w:tcPr>
            <w:tcW w:w="426" w:type="dxa"/>
          </w:tcPr>
          <w:p w14:paraId="0ECEB8C9" w14:textId="40BA3A81" w:rsidR="00787CF4" w:rsidRPr="00F64D69" w:rsidRDefault="00F64D69">
            <w:pPr>
              <w:rPr>
                <w:b/>
                <w:bCs/>
              </w:rPr>
            </w:pPr>
            <w:r w:rsidRPr="00F64D69">
              <w:rPr>
                <w:b/>
                <w:bCs/>
              </w:rPr>
              <w:t>3</w:t>
            </w:r>
          </w:p>
        </w:tc>
        <w:tc>
          <w:tcPr>
            <w:tcW w:w="7370" w:type="dxa"/>
          </w:tcPr>
          <w:p w14:paraId="40B70CDB" w14:textId="77777777" w:rsidR="00787CF4" w:rsidRDefault="004365A5">
            <w:r>
              <w:rPr>
                <w:b/>
              </w:rPr>
              <w:t>Registrar la provisión contable en eKOGUI</w:t>
            </w:r>
            <w:r>
              <w:br/>
              <w:t>Usar el ponderado del riesgo de condena para determinar el registro de la provisión contable o cuenta de orden en los estados financieros de la Entidad.</w:t>
            </w:r>
          </w:p>
          <w:p w14:paraId="2B93A09B" w14:textId="77777777" w:rsidR="000B3F6A" w:rsidRDefault="000B3F6A"/>
        </w:tc>
        <w:tc>
          <w:tcPr>
            <w:tcW w:w="1984" w:type="dxa"/>
          </w:tcPr>
          <w:p w14:paraId="59852CE1" w14:textId="281B08A6" w:rsidR="00787CF4" w:rsidRDefault="00F64D69">
            <w:r>
              <w:t>Grupo de defensa judicial</w:t>
            </w:r>
          </w:p>
        </w:tc>
        <w:tc>
          <w:tcPr>
            <w:tcW w:w="1701" w:type="dxa"/>
          </w:tcPr>
          <w:p w14:paraId="7B369A9A" w14:textId="77777777" w:rsidR="00F64D69" w:rsidRDefault="00F64D69"/>
          <w:p w14:paraId="65179405" w14:textId="3027A01F" w:rsidR="00787CF4" w:rsidRDefault="004365A5">
            <w:r>
              <w:t>Sin definir</w:t>
            </w:r>
          </w:p>
        </w:tc>
        <w:tc>
          <w:tcPr>
            <w:tcW w:w="2268" w:type="dxa"/>
          </w:tcPr>
          <w:p w14:paraId="4512D8FF" w14:textId="77777777" w:rsidR="00F64D69" w:rsidRDefault="00F64D69"/>
          <w:p w14:paraId="54966D51" w14:textId="78D601E0" w:rsidR="00787CF4" w:rsidRDefault="004365A5">
            <w:r>
              <w:t>Sin definir</w:t>
            </w:r>
          </w:p>
        </w:tc>
      </w:tr>
      <w:tr w:rsidR="00787CF4" w14:paraId="38453152" w14:textId="77777777">
        <w:tc>
          <w:tcPr>
            <w:tcW w:w="426" w:type="dxa"/>
          </w:tcPr>
          <w:p w14:paraId="72DD90ED" w14:textId="4EC4ECF2" w:rsidR="00787CF4" w:rsidRPr="00F64D69" w:rsidRDefault="00F64D69">
            <w:pPr>
              <w:rPr>
                <w:b/>
                <w:bCs/>
              </w:rPr>
            </w:pPr>
            <w:r w:rsidRPr="00F64D69">
              <w:rPr>
                <w:b/>
                <w:bCs/>
              </w:rPr>
              <w:t>4</w:t>
            </w:r>
          </w:p>
        </w:tc>
        <w:tc>
          <w:tcPr>
            <w:tcW w:w="7370" w:type="dxa"/>
          </w:tcPr>
          <w:p w14:paraId="15EC09FE" w14:textId="77777777" w:rsidR="00787CF4" w:rsidRDefault="004365A5">
            <w:r>
              <w:rPr>
                <w:b/>
              </w:rPr>
              <w:t>Gestión Financiera</w:t>
            </w:r>
            <w:r>
              <w:br/>
              <w:t>Continúa en proceso Gestión Financiera actividad clave de éxito "1. Actividades Contables", Subactividad "1.4 Litigios y Demandas"</w:t>
            </w:r>
          </w:p>
          <w:p w14:paraId="390DCA43" w14:textId="77777777" w:rsidR="00F64D69" w:rsidRDefault="00F64D69"/>
        </w:tc>
        <w:tc>
          <w:tcPr>
            <w:tcW w:w="1984" w:type="dxa"/>
          </w:tcPr>
          <w:p w14:paraId="65322295" w14:textId="77777777" w:rsidR="00F64D69" w:rsidRDefault="00F64D69"/>
          <w:p w14:paraId="6115310C" w14:textId="166CC0EE" w:rsidR="00787CF4" w:rsidRDefault="00F64D69">
            <w:r>
              <w:t>Dirección Financiera</w:t>
            </w:r>
          </w:p>
        </w:tc>
        <w:tc>
          <w:tcPr>
            <w:tcW w:w="1701" w:type="dxa"/>
          </w:tcPr>
          <w:p w14:paraId="0565E389" w14:textId="77777777" w:rsidR="00F64D69" w:rsidRDefault="00F64D69"/>
          <w:p w14:paraId="050788DB" w14:textId="4F6589D7" w:rsidR="00787CF4" w:rsidRDefault="004365A5">
            <w:r>
              <w:t>Sin definir</w:t>
            </w:r>
          </w:p>
        </w:tc>
        <w:tc>
          <w:tcPr>
            <w:tcW w:w="2268" w:type="dxa"/>
          </w:tcPr>
          <w:p w14:paraId="393E7884" w14:textId="77777777" w:rsidR="00F64D69" w:rsidRDefault="00F64D69"/>
          <w:p w14:paraId="0D19F7D4" w14:textId="30D6BDDC" w:rsidR="00787CF4" w:rsidRDefault="004365A5">
            <w:r>
              <w:t>Sin definir</w:t>
            </w:r>
          </w:p>
        </w:tc>
      </w:tr>
    </w:tbl>
    <w:p w14:paraId="62E8955D" w14:textId="1706BF78" w:rsidR="00DF6608" w:rsidRDefault="00DF6608" w:rsidP="00F23750">
      <w:pPr>
        <w:spacing w:after="0" w:line="360" w:lineRule="auto"/>
        <w:rPr>
          <w:rFonts w:ascii="Arial" w:eastAsiaTheme="majorEastAsia" w:hAnsi="Arial" w:cs="Arial"/>
          <w:b/>
          <w:bCs/>
          <w:color w:val="2F5496" w:themeColor="accent1" w:themeShade="BF"/>
          <w:shd w:val="clear" w:color="auto" w:fill="FFFFFF"/>
        </w:rPr>
      </w:pPr>
    </w:p>
    <w:p w14:paraId="7B86A5BA" w14:textId="70B82176" w:rsidR="00781A83" w:rsidRDefault="00781A83" w:rsidP="00F23750">
      <w:pPr>
        <w:spacing w:after="0" w:line="360" w:lineRule="auto"/>
        <w:rPr>
          <w:rFonts w:ascii="Arial" w:eastAsiaTheme="majorEastAsia" w:hAnsi="Arial" w:cs="Arial"/>
          <w:b/>
          <w:bCs/>
          <w:color w:val="2F5496" w:themeColor="accent1" w:themeShade="BF"/>
          <w:shd w:val="clear" w:color="auto" w:fill="FFFFFF"/>
        </w:rPr>
      </w:pPr>
      <w:r w:rsidRPr="00781A83">
        <w:rPr>
          <w:rFonts w:ascii="Arial" w:eastAsiaTheme="majorEastAsia" w:hAnsi="Arial" w:cs="Arial"/>
          <w:b/>
          <w:bCs/>
          <w:color w:val="2F5496" w:themeColor="accent1" w:themeShade="BF"/>
          <w:shd w:val="clear" w:color="auto" w:fill="FFFFFF"/>
        </w:rPr>
        <w:t xml:space="preserve">ANEXOS </w:t>
      </w:r>
    </w:p>
    <w:p w14:paraId="455FB013" w14:textId="77777777" w:rsidR="006B7F6A" w:rsidRPr="006B7F6A" w:rsidRDefault="006B7F6A" w:rsidP="006B7F6A">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65A4FBF4" w14:textId="400A1BA4" w:rsidR="7B14347E" w:rsidRDefault="7B14347E" w:rsidP="7B14347E">
      <w:pPr>
        <w:spacing w:after="0" w:line="360" w:lineRule="auto"/>
        <w:rPr>
          <w:rFonts w:ascii="Arial" w:hAnsi="Arial" w:cs="Arial"/>
          <w:color w:val="000000" w:themeColor="text1"/>
          <w:sz w:val="24"/>
          <w:szCs w:val="24"/>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40"/>
        <w:gridCol w:w="1748"/>
        <w:gridCol w:w="1741"/>
        <w:gridCol w:w="1749"/>
        <w:gridCol w:w="1741"/>
        <w:gridCol w:w="4271"/>
      </w:tblGrid>
      <w:tr w:rsidR="7B14347E" w14:paraId="08763FEA" w14:textId="77777777" w:rsidTr="16AA4CC0">
        <w:trPr>
          <w:trHeight w:val="30"/>
        </w:trPr>
        <w:tc>
          <w:tcPr>
            <w:tcW w:w="13143" w:type="dxa"/>
            <w:gridSpan w:val="6"/>
            <w:shd w:val="clear" w:color="auto" w:fill="33CCCC"/>
            <w:tcMar>
              <w:left w:w="105" w:type="dxa"/>
              <w:right w:w="105" w:type="dxa"/>
            </w:tcMar>
            <w:vAlign w:val="center"/>
          </w:tcPr>
          <w:p w14:paraId="30A87AAA" w14:textId="3BA815AF" w:rsidR="7B14347E" w:rsidRDefault="7B14347E" w:rsidP="7B14347E">
            <w:pPr>
              <w:jc w:val="center"/>
              <w:rPr>
                <w:rFonts w:ascii="Arial" w:eastAsia="Arial" w:hAnsi="Arial" w:cs="Arial"/>
                <w:color w:val="000000" w:themeColor="text1"/>
              </w:rPr>
            </w:pPr>
            <w:r w:rsidRPr="7B14347E">
              <w:rPr>
                <w:rFonts w:ascii="Arial" w:eastAsia="Arial" w:hAnsi="Arial" w:cs="Arial"/>
                <w:b/>
                <w:bCs/>
                <w:color w:val="000000" w:themeColor="text1"/>
              </w:rPr>
              <w:t>Control de cambios</w:t>
            </w:r>
          </w:p>
        </w:tc>
      </w:tr>
      <w:tr w:rsidR="7B14347E" w14:paraId="2FF43003" w14:textId="77777777" w:rsidTr="16AA4CC0">
        <w:trPr>
          <w:trHeight w:val="300"/>
        </w:trPr>
        <w:tc>
          <w:tcPr>
            <w:tcW w:w="1759" w:type="dxa"/>
            <w:shd w:val="clear" w:color="auto" w:fill="33CCCC"/>
            <w:tcMar>
              <w:left w:w="105" w:type="dxa"/>
              <w:right w:w="105" w:type="dxa"/>
            </w:tcMar>
            <w:vAlign w:val="center"/>
          </w:tcPr>
          <w:p w14:paraId="168FE833" w14:textId="39BBCB9D" w:rsidR="7B14347E" w:rsidRDefault="7B14347E" w:rsidP="7B14347E">
            <w:pPr>
              <w:rPr>
                <w:rFonts w:ascii="Arial" w:eastAsia="Arial" w:hAnsi="Arial" w:cs="Arial"/>
                <w:color w:val="000000" w:themeColor="text1"/>
              </w:rPr>
            </w:pPr>
            <w:r w:rsidRPr="7B14347E">
              <w:rPr>
                <w:rFonts w:ascii="Arial" w:eastAsia="Arial" w:hAnsi="Arial" w:cs="Arial"/>
                <w:b/>
                <w:bCs/>
                <w:color w:val="000000" w:themeColor="text1"/>
              </w:rPr>
              <w:t>Versión</w:t>
            </w:r>
          </w:p>
        </w:tc>
        <w:tc>
          <w:tcPr>
            <w:tcW w:w="1759" w:type="dxa"/>
            <w:shd w:val="clear" w:color="auto" w:fill="33CCCC"/>
            <w:tcMar>
              <w:left w:w="105" w:type="dxa"/>
              <w:right w:w="105" w:type="dxa"/>
            </w:tcMar>
            <w:vAlign w:val="center"/>
          </w:tcPr>
          <w:p w14:paraId="0C4C9060" w14:textId="0C06B921" w:rsidR="7B14347E" w:rsidRDefault="7B14347E" w:rsidP="7B14347E">
            <w:pPr>
              <w:rPr>
                <w:rFonts w:ascii="Arial" w:eastAsia="Arial" w:hAnsi="Arial" w:cs="Arial"/>
                <w:color w:val="000000" w:themeColor="text1"/>
              </w:rPr>
            </w:pPr>
            <w:r w:rsidRPr="7B14347E">
              <w:rPr>
                <w:rFonts w:ascii="Arial" w:eastAsia="Arial" w:hAnsi="Arial" w:cs="Arial"/>
                <w:b/>
                <w:bCs/>
                <w:color w:val="000000" w:themeColor="text1"/>
              </w:rPr>
              <w:t>Fecha</w:t>
            </w:r>
          </w:p>
        </w:tc>
        <w:tc>
          <w:tcPr>
            <w:tcW w:w="9625" w:type="dxa"/>
            <w:gridSpan w:val="4"/>
            <w:shd w:val="clear" w:color="auto" w:fill="33CCCC"/>
            <w:tcMar>
              <w:left w:w="105" w:type="dxa"/>
              <w:right w:w="105" w:type="dxa"/>
            </w:tcMar>
            <w:vAlign w:val="center"/>
          </w:tcPr>
          <w:p w14:paraId="1E654CA6" w14:textId="43832EA5" w:rsidR="7B14347E" w:rsidRDefault="7B14347E" w:rsidP="7B14347E">
            <w:pPr>
              <w:rPr>
                <w:rFonts w:ascii="Arial" w:eastAsia="Arial" w:hAnsi="Arial" w:cs="Arial"/>
                <w:color w:val="000000" w:themeColor="text1"/>
              </w:rPr>
            </w:pPr>
            <w:r w:rsidRPr="7B14347E">
              <w:rPr>
                <w:rFonts w:ascii="Arial" w:eastAsia="Arial" w:hAnsi="Arial" w:cs="Arial"/>
                <w:b/>
                <w:bCs/>
                <w:color w:val="000000" w:themeColor="text1"/>
              </w:rPr>
              <w:t>Descripción de los cambios</w:t>
            </w:r>
          </w:p>
        </w:tc>
      </w:tr>
      <w:tr w:rsidR="7B14347E" w14:paraId="44C53F46" w14:textId="77777777" w:rsidTr="16AA4CC0">
        <w:trPr>
          <w:trHeight w:val="300"/>
        </w:trPr>
        <w:tc>
          <w:tcPr>
            <w:tcW w:w="1759" w:type="dxa"/>
            <w:tcMar>
              <w:left w:w="105" w:type="dxa"/>
              <w:right w:w="105" w:type="dxa"/>
            </w:tcMar>
            <w:vAlign w:val="center"/>
          </w:tcPr>
          <w:p w14:paraId="78F1A0A0" w14:textId="29CCAA01" w:rsidR="7B14347E" w:rsidRDefault="7B14347E" w:rsidP="7B14347E">
            <w:pPr>
              <w:rPr>
                <w:rFonts w:ascii="Arial" w:eastAsia="Arial" w:hAnsi="Arial" w:cs="Arial"/>
                <w:color w:val="000000" w:themeColor="text1"/>
              </w:rPr>
            </w:pPr>
            <w:r w:rsidRPr="7B14347E">
              <w:rPr>
                <w:rFonts w:ascii="Arial" w:eastAsia="Arial" w:hAnsi="Arial" w:cs="Arial"/>
                <w:color w:val="000000" w:themeColor="text1"/>
              </w:rPr>
              <w:t xml:space="preserve">1 </w:t>
            </w:r>
          </w:p>
        </w:tc>
        <w:tc>
          <w:tcPr>
            <w:tcW w:w="1759" w:type="dxa"/>
            <w:tcMar>
              <w:left w:w="105" w:type="dxa"/>
              <w:right w:w="105" w:type="dxa"/>
            </w:tcMar>
            <w:vAlign w:val="center"/>
          </w:tcPr>
          <w:p w14:paraId="19917AB5" w14:textId="2BB5859E" w:rsidR="7B14347E" w:rsidRDefault="00F7112B" w:rsidP="7B14347E">
            <w:pPr>
              <w:rPr>
                <w:rFonts w:ascii="Arial" w:eastAsia="Arial" w:hAnsi="Arial" w:cs="Arial"/>
                <w:color w:val="000000" w:themeColor="text1"/>
              </w:rPr>
            </w:pPr>
            <w:r>
              <w:rPr>
                <w:rFonts w:ascii="Arial" w:eastAsia="Arial" w:hAnsi="Arial" w:cs="Arial"/>
                <w:color w:val="000000" w:themeColor="text1"/>
              </w:rPr>
              <w:t>31/03/2026</w:t>
            </w:r>
          </w:p>
        </w:tc>
        <w:tc>
          <w:tcPr>
            <w:tcW w:w="9625" w:type="dxa"/>
            <w:gridSpan w:val="4"/>
            <w:tcMar>
              <w:left w:w="105" w:type="dxa"/>
              <w:right w:w="105" w:type="dxa"/>
            </w:tcMar>
            <w:vAlign w:val="center"/>
          </w:tcPr>
          <w:p w14:paraId="52A31DFD" w14:textId="77A41D0F" w:rsidR="7B14347E" w:rsidRDefault="7B14347E" w:rsidP="16AA4CC0">
            <w:pPr>
              <w:rPr>
                <w:rFonts w:ascii="Arial" w:eastAsia="Arial" w:hAnsi="Arial" w:cs="Arial"/>
                <w:color w:val="000000" w:themeColor="text1"/>
              </w:rPr>
            </w:pPr>
            <w:r w:rsidRPr="16AA4CC0">
              <w:rPr>
                <w:rFonts w:ascii="Arial" w:eastAsia="Arial" w:hAnsi="Arial" w:cs="Arial"/>
                <w:color w:val="000000" w:themeColor="text1"/>
              </w:rPr>
              <w:t xml:space="preserve">Se genera el procedimiento a partir de la información documentada en el </w:t>
            </w:r>
            <w:r w:rsidR="64CF3FFB" w:rsidRPr="16AA4CC0">
              <w:rPr>
                <w:rStyle w:val="normaltextrun"/>
                <w:rFonts w:ascii="Arial" w:hAnsi="Arial" w:cs="Arial"/>
              </w:rPr>
              <w:t>proceso Gestión Jurídica (</w:t>
            </w:r>
            <w:r w:rsidR="714EB124" w:rsidRPr="16AA4CC0">
              <w:rPr>
                <w:rStyle w:val="normaltextrun"/>
                <w:rFonts w:ascii="Arial" w:hAnsi="Arial" w:cs="Arial"/>
              </w:rPr>
              <w:t>GJ</w:t>
            </w:r>
            <w:r w:rsidR="64CF3FFB" w:rsidRPr="16AA4CC0">
              <w:rPr>
                <w:rStyle w:val="normaltextrun"/>
                <w:rFonts w:ascii="Arial" w:hAnsi="Arial" w:cs="Arial"/>
              </w:rPr>
              <w:t>PD01) en la actividad clave de éxito “</w:t>
            </w:r>
            <w:r w:rsidR="64CF3FFB" w:rsidRPr="16AA4CC0">
              <w:rPr>
                <w:rFonts w:ascii="Arial" w:hAnsi="Arial" w:cs="Arial"/>
              </w:rPr>
              <w:t>evaluar la probabilidad de perdida de procesos judiciales y laudos arbitrales</w:t>
            </w:r>
            <w:r w:rsidR="64CF3FFB" w:rsidRPr="16AA4CC0">
              <w:rPr>
                <w:rStyle w:val="normaltextrun"/>
                <w:rFonts w:ascii="Arial" w:hAnsi="Arial" w:cs="Arial"/>
              </w:rPr>
              <w:t>”</w:t>
            </w:r>
            <w:r w:rsidRPr="16AA4CC0">
              <w:rPr>
                <w:rFonts w:ascii="Arial" w:eastAsia="Arial" w:hAnsi="Arial" w:cs="Arial"/>
                <w:color w:val="000000" w:themeColor="text1"/>
              </w:rPr>
              <w:t>.  Las actividades establecidas en el diagrama tipo Bizagi se tomaron textualmente para crear cada una de las actividades del presente procedimiento sin que implique que su contenido de fondo se haya modificado respetando de esta manera el documento aprobado por el responsable. Adicionalmente, se suprime la codificación de los formatos y otros documentos enunciados conservando únicamente el nombre.</w:t>
            </w:r>
          </w:p>
          <w:p w14:paraId="2D19CD0B" w14:textId="24D4C8E1" w:rsidR="7B14347E" w:rsidRDefault="7B14347E" w:rsidP="7B14347E">
            <w:pPr>
              <w:rPr>
                <w:rFonts w:ascii="Arial" w:eastAsia="Arial" w:hAnsi="Arial" w:cs="Arial"/>
                <w:color w:val="000000" w:themeColor="text1"/>
              </w:rPr>
            </w:pPr>
          </w:p>
          <w:p w14:paraId="2461C1AA" w14:textId="1458AF02" w:rsidR="7B14347E" w:rsidRDefault="7B14347E" w:rsidP="7B14347E">
            <w:pPr>
              <w:rPr>
                <w:rFonts w:ascii="Arial" w:eastAsia="Arial" w:hAnsi="Arial" w:cs="Arial"/>
                <w:color w:val="000000" w:themeColor="text1"/>
              </w:rPr>
            </w:pPr>
            <w:r w:rsidRPr="7B14347E">
              <w:rPr>
                <w:rFonts w:ascii="Arial" w:eastAsia="Arial" w:hAnsi="Arial" w:cs="Arial"/>
                <w:color w:val="000000" w:themeColor="text1"/>
              </w:rPr>
              <w:t>Se actualiza el encabezado del documento de acuerdo con el nuevo Mapa de Procesos de la Superintendencia Nacional de Salud, actualizando el nombre del proceso, el código y la versión, la cual por cargue inicial en la aplicación tecnológica reinicia desde la versión 1. 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w:t>
            </w:r>
          </w:p>
          <w:p w14:paraId="7AA1A195" w14:textId="171AF268" w:rsidR="7B14347E" w:rsidRDefault="7B14347E" w:rsidP="7B14347E">
            <w:pPr>
              <w:rPr>
                <w:rFonts w:ascii="Arial" w:eastAsia="Arial" w:hAnsi="Arial" w:cs="Arial"/>
                <w:color w:val="000000" w:themeColor="text1"/>
              </w:rPr>
            </w:pPr>
          </w:p>
        </w:tc>
      </w:tr>
      <w:tr w:rsidR="7B14347E" w14:paraId="28C70CB7" w14:textId="77777777" w:rsidTr="16AA4CC0">
        <w:trPr>
          <w:trHeight w:val="30"/>
        </w:trPr>
        <w:tc>
          <w:tcPr>
            <w:tcW w:w="3518" w:type="dxa"/>
            <w:gridSpan w:val="2"/>
            <w:shd w:val="clear" w:color="auto" w:fill="33CCCC"/>
            <w:tcMar>
              <w:left w:w="105" w:type="dxa"/>
              <w:right w:w="105" w:type="dxa"/>
            </w:tcMar>
            <w:vAlign w:val="center"/>
          </w:tcPr>
          <w:p w14:paraId="12B0A853" w14:textId="6E34D394" w:rsidR="7B14347E" w:rsidRDefault="7B14347E" w:rsidP="7B14347E">
            <w:pPr>
              <w:rPr>
                <w:rFonts w:ascii="Arial" w:eastAsia="Arial" w:hAnsi="Arial" w:cs="Arial"/>
                <w:color w:val="000000" w:themeColor="text1"/>
              </w:rPr>
            </w:pPr>
            <w:r w:rsidRPr="7B14347E">
              <w:rPr>
                <w:rFonts w:ascii="Arial" w:eastAsia="Arial" w:hAnsi="Arial" w:cs="Arial"/>
                <w:b/>
                <w:bCs/>
                <w:color w:val="000000" w:themeColor="text1"/>
              </w:rPr>
              <w:t>Elaboró</w:t>
            </w:r>
          </w:p>
        </w:tc>
        <w:tc>
          <w:tcPr>
            <w:tcW w:w="3518" w:type="dxa"/>
            <w:gridSpan w:val="2"/>
            <w:shd w:val="clear" w:color="auto" w:fill="33CCCC"/>
            <w:tcMar>
              <w:left w:w="105" w:type="dxa"/>
              <w:right w:w="105" w:type="dxa"/>
            </w:tcMar>
            <w:vAlign w:val="center"/>
          </w:tcPr>
          <w:p w14:paraId="598E8EAF" w14:textId="0BE7541B" w:rsidR="7B14347E" w:rsidRDefault="7B14347E" w:rsidP="7B14347E">
            <w:pPr>
              <w:rPr>
                <w:rFonts w:ascii="Arial" w:eastAsia="Arial" w:hAnsi="Arial" w:cs="Arial"/>
                <w:color w:val="000000" w:themeColor="text1"/>
              </w:rPr>
            </w:pPr>
            <w:r w:rsidRPr="7B14347E">
              <w:rPr>
                <w:rFonts w:ascii="Arial" w:eastAsia="Arial" w:hAnsi="Arial" w:cs="Arial"/>
                <w:b/>
                <w:bCs/>
                <w:color w:val="000000" w:themeColor="text1"/>
              </w:rPr>
              <w:t>Revisó</w:t>
            </w:r>
          </w:p>
        </w:tc>
        <w:tc>
          <w:tcPr>
            <w:tcW w:w="6107" w:type="dxa"/>
            <w:gridSpan w:val="2"/>
            <w:shd w:val="clear" w:color="auto" w:fill="33CCCC"/>
            <w:tcMar>
              <w:left w:w="105" w:type="dxa"/>
              <w:right w:w="105" w:type="dxa"/>
            </w:tcMar>
            <w:vAlign w:val="center"/>
          </w:tcPr>
          <w:p w14:paraId="5763BE41" w14:textId="37D36A72" w:rsidR="7B14347E" w:rsidRDefault="7B14347E" w:rsidP="7B14347E">
            <w:pPr>
              <w:rPr>
                <w:rFonts w:ascii="Arial" w:eastAsia="Arial" w:hAnsi="Arial" w:cs="Arial"/>
                <w:color w:val="000000" w:themeColor="text1"/>
              </w:rPr>
            </w:pPr>
            <w:r w:rsidRPr="7B14347E">
              <w:rPr>
                <w:rFonts w:ascii="Arial" w:eastAsia="Arial" w:hAnsi="Arial" w:cs="Arial"/>
                <w:b/>
                <w:bCs/>
                <w:color w:val="000000" w:themeColor="text1"/>
              </w:rPr>
              <w:t>Aprobó</w:t>
            </w:r>
          </w:p>
        </w:tc>
      </w:tr>
      <w:tr w:rsidR="7B14347E" w14:paraId="44EEFC41" w14:textId="77777777" w:rsidTr="16AA4CC0">
        <w:trPr>
          <w:trHeight w:val="330"/>
        </w:trPr>
        <w:tc>
          <w:tcPr>
            <w:tcW w:w="1759" w:type="dxa"/>
            <w:tcMar>
              <w:left w:w="105" w:type="dxa"/>
              <w:right w:w="105" w:type="dxa"/>
            </w:tcMar>
            <w:vAlign w:val="center"/>
          </w:tcPr>
          <w:p w14:paraId="334FD9A1" w14:textId="79A5B4A8" w:rsidR="7B14347E" w:rsidRDefault="7B14347E" w:rsidP="7B14347E">
            <w:pPr>
              <w:rPr>
                <w:rFonts w:ascii="Arial" w:eastAsia="Arial" w:hAnsi="Arial" w:cs="Arial"/>
                <w:color w:val="000000" w:themeColor="text1"/>
              </w:rPr>
            </w:pPr>
            <w:r w:rsidRPr="7B14347E">
              <w:rPr>
                <w:rFonts w:ascii="Arial" w:eastAsia="Arial" w:hAnsi="Arial" w:cs="Arial"/>
                <w:b/>
                <w:bCs/>
                <w:color w:val="000000" w:themeColor="text1"/>
              </w:rPr>
              <w:t>Nombre</w:t>
            </w:r>
          </w:p>
        </w:tc>
        <w:tc>
          <w:tcPr>
            <w:tcW w:w="1759" w:type="dxa"/>
            <w:vMerge w:val="restart"/>
            <w:tcMar>
              <w:left w:w="105" w:type="dxa"/>
              <w:right w:w="105" w:type="dxa"/>
            </w:tcMar>
            <w:vAlign w:val="center"/>
          </w:tcPr>
          <w:p w14:paraId="48AC91B2" w14:textId="613D68BE" w:rsidR="7B14347E" w:rsidRDefault="7B14347E" w:rsidP="7B14347E">
            <w:pPr>
              <w:rPr>
                <w:rFonts w:ascii="Arial" w:eastAsia="Arial" w:hAnsi="Arial" w:cs="Arial"/>
                <w:color w:val="000000" w:themeColor="text1"/>
              </w:rPr>
            </w:pPr>
            <w:r w:rsidRPr="7B14347E">
              <w:rPr>
                <w:rFonts w:ascii="Arial" w:eastAsia="Arial" w:hAnsi="Arial" w:cs="Arial"/>
                <w:color w:val="000000" w:themeColor="text1"/>
              </w:rPr>
              <w:t xml:space="preserve">Información disponible en el SharePoint de la OAP a través del </w:t>
            </w:r>
            <w:r w:rsidRPr="7B14347E">
              <w:rPr>
                <w:rFonts w:ascii="Arial" w:eastAsia="Arial" w:hAnsi="Arial" w:cs="Arial"/>
                <w:color w:val="000000" w:themeColor="text1"/>
              </w:rPr>
              <w:lastRenderedPageBreak/>
              <w:t>formato DEFT15</w:t>
            </w:r>
          </w:p>
        </w:tc>
        <w:tc>
          <w:tcPr>
            <w:tcW w:w="1759" w:type="dxa"/>
            <w:tcMar>
              <w:left w:w="105" w:type="dxa"/>
              <w:right w:w="105" w:type="dxa"/>
            </w:tcMar>
            <w:vAlign w:val="center"/>
          </w:tcPr>
          <w:p w14:paraId="45632299" w14:textId="3CACB6D9" w:rsidR="7B14347E" w:rsidRDefault="7B14347E" w:rsidP="7B14347E">
            <w:pPr>
              <w:rPr>
                <w:rFonts w:ascii="Arial" w:eastAsia="Arial" w:hAnsi="Arial" w:cs="Arial"/>
                <w:color w:val="000000" w:themeColor="text1"/>
              </w:rPr>
            </w:pPr>
            <w:r w:rsidRPr="7B14347E">
              <w:rPr>
                <w:rFonts w:ascii="Arial" w:eastAsia="Arial" w:hAnsi="Arial" w:cs="Arial"/>
                <w:b/>
                <w:bCs/>
                <w:color w:val="000000" w:themeColor="text1"/>
              </w:rPr>
              <w:lastRenderedPageBreak/>
              <w:t>Nombre</w:t>
            </w:r>
          </w:p>
        </w:tc>
        <w:tc>
          <w:tcPr>
            <w:tcW w:w="1759" w:type="dxa"/>
            <w:vMerge w:val="restart"/>
            <w:tcMar>
              <w:left w:w="105" w:type="dxa"/>
              <w:right w:w="105" w:type="dxa"/>
            </w:tcMar>
            <w:vAlign w:val="center"/>
          </w:tcPr>
          <w:p w14:paraId="5C2EE4B3" w14:textId="3F6A51D7" w:rsidR="7B14347E" w:rsidRDefault="7B14347E" w:rsidP="7B14347E">
            <w:pPr>
              <w:rPr>
                <w:rFonts w:ascii="Arial" w:eastAsia="Arial" w:hAnsi="Arial" w:cs="Arial"/>
                <w:color w:val="000000" w:themeColor="text1"/>
              </w:rPr>
            </w:pPr>
            <w:r w:rsidRPr="7B14347E">
              <w:rPr>
                <w:rFonts w:ascii="Arial" w:eastAsia="Arial" w:hAnsi="Arial" w:cs="Arial"/>
                <w:color w:val="000000" w:themeColor="text1"/>
              </w:rPr>
              <w:t xml:space="preserve">Información disponible en el SharePoint de la OAP a través del </w:t>
            </w:r>
            <w:r w:rsidRPr="7B14347E">
              <w:rPr>
                <w:rFonts w:ascii="Arial" w:eastAsia="Arial" w:hAnsi="Arial" w:cs="Arial"/>
                <w:color w:val="000000" w:themeColor="text1"/>
              </w:rPr>
              <w:lastRenderedPageBreak/>
              <w:t>formato DEFT15</w:t>
            </w:r>
          </w:p>
        </w:tc>
        <w:tc>
          <w:tcPr>
            <w:tcW w:w="1759" w:type="dxa"/>
            <w:tcMar>
              <w:left w:w="105" w:type="dxa"/>
              <w:right w:w="105" w:type="dxa"/>
            </w:tcMar>
            <w:vAlign w:val="center"/>
          </w:tcPr>
          <w:p w14:paraId="3F6CD421" w14:textId="05E3FF8C" w:rsidR="7B14347E" w:rsidRDefault="7B14347E" w:rsidP="7B14347E">
            <w:pPr>
              <w:rPr>
                <w:rFonts w:ascii="Arial" w:eastAsia="Arial" w:hAnsi="Arial" w:cs="Arial"/>
                <w:color w:val="000000" w:themeColor="text1"/>
              </w:rPr>
            </w:pPr>
            <w:r w:rsidRPr="7B14347E">
              <w:rPr>
                <w:rFonts w:ascii="Arial" w:eastAsia="Arial" w:hAnsi="Arial" w:cs="Arial"/>
                <w:b/>
                <w:bCs/>
                <w:color w:val="000000" w:themeColor="text1"/>
              </w:rPr>
              <w:lastRenderedPageBreak/>
              <w:t>Nombre</w:t>
            </w:r>
          </w:p>
        </w:tc>
        <w:tc>
          <w:tcPr>
            <w:tcW w:w="4348" w:type="dxa"/>
            <w:vMerge w:val="restart"/>
            <w:tcMar>
              <w:left w:w="105" w:type="dxa"/>
              <w:right w:w="105" w:type="dxa"/>
            </w:tcMar>
            <w:vAlign w:val="center"/>
          </w:tcPr>
          <w:p w14:paraId="20384812" w14:textId="105E2C4D" w:rsidR="7B14347E" w:rsidRDefault="7B14347E" w:rsidP="7B14347E">
            <w:pPr>
              <w:rPr>
                <w:rFonts w:ascii="Arial" w:eastAsia="Arial" w:hAnsi="Arial" w:cs="Arial"/>
                <w:color w:val="000000" w:themeColor="text1"/>
              </w:rPr>
            </w:pPr>
            <w:r w:rsidRPr="7B14347E">
              <w:rPr>
                <w:rFonts w:ascii="Arial" w:eastAsia="Arial" w:hAnsi="Arial" w:cs="Arial"/>
                <w:color w:val="000000" w:themeColor="text1"/>
              </w:rPr>
              <w:t>Información disponible en el SharePoint de la OAP a través del formato DEFT15</w:t>
            </w:r>
          </w:p>
        </w:tc>
      </w:tr>
      <w:tr w:rsidR="7B14347E" w14:paraId="19F8BFFC" w14:textId="77777777" w:rsidTr="16AA4CC0">
        <w:trPr>
          <w:trHeight w:val="345"/>
        </w:trPr>
        <w:tc>
          <w:tcPr>
            <w:tcW w:w="1759" w:type="dxa"/>
            <w:tcMar>
              <w:left w:w="105" w:type="dxa"/>
              <w:right w:w="105" w:type="dxa"/>
            </w:tcMar>
            <w:vAlign w:val="center"/>
          </w:tcPr>
          <w:p w14:paraId="5F9BA2BD" w14:textId="468644CA" w:rsidR="7B14347E" w:rsidRDefault="7B14347E" w:rsidP="7B14347E">
            <w:pPr>
              <w:rPr>
                <w:rFonts w:ascii="Arial" w:eastAsia="Arial" w:hAnsi="Arial" w:cs="Arial"/>
                <w:color w:val="000000" w:themeColor="text1"/>
              </w:rPr>
            </w:pPr>
            <w:r w:rsidRPr="7B14347E">
              <w:rPr>
                <w:rFonts w:ascii="Arial" w:eastAsia="Arial" w:hAnsi="Arial" w:cs="Arial"/>
                <w:b/>
                <w:bCs/>
                <w:color w:val="000000" w:themeColor="text1"/>
              </w:rPr>
              <w:t>Cargo</w:t>
            </w:r>
          </w:p>
        </w:tc>
        <w:tc>
          <w:tcPr>
            <w:tcW w:w="1759" w:type="dxa"/>
            <w:vMerge/>
            <w:vAlign w:val="center"/>
          </w:tcPr>
          <w:p w14:paraId="63FF3866" w14:textId="77777777" w:rsidR="0068435F" w:rsidRDefault="0068435F"/>
        </w:tc>
        <w:tc>
          <w:tcPr>
            <w:tcW w:w="1759" w:type="dxa"/>
            <w:tcMar>
              <w:left w:w="105" w:type="dxa"/>
              <w:right w:w="105" w:type="dxa"/>
            </w:tcMar>
            <w:vAlign w:val="center"/>
          </w:tcPr>
          <w:p w14:paraId="63BEE2FE" w14:textId="25BD2C53" w:rsidR="7B14347E" w:rsidRDefault="7B14347E" w:rsidP="7B14347E">
            <w:pPr>
              <w:rPr>
                <w:rFonts w:ascii="Arial" w:eastAsia="Arial" w:hAnsi="Arial" w:cs="Arial"/>
                <w:color w:val="000000" w:themeColor="text1"/>
              </w:rPr>
            </w:pPr>
            <w:r w:rsidRPr="7B14347E">
              <w:rPr>
                <w:rFonts w:ascii="Arial" w:eastAsia="Arial" w:hAnsi="Arial" w:cs="Arial"/>
                <w:b/>
                <w:bCs/>
                <w:color w:val="000000" w:themeColor="text1"/>
              </w:rPr>
              <w:t>Cargo</w:t>
            </w:r>
          </w:p>
        </w:tc>
        <w:tc>
          <w:tcPr>
            <w:tcW w:w="1759" w:type="dxa"/>
            <w:vMerge/>
            <w:vAlign w:val="center"/>
          </w:tcPr>
          <w:p w14:paraId="51006786" w14:textId="77777777" w:rsidR="0068435F" w:rsidRDefault="0068435F"/>
        </w:tc>
        <w:tc>
          <w:tcPr>
            <w:tcW w:w="1759" w:type="dxa"/>
            <w:tcMar>
              <w:left w:w="105" w:type="dxa"/>
              <w:right w:w="105" w:type="dxa"/>
            </w:tcMar>
            <w:vAlign w:val="center"/>
          </w:tcPr>
          <w:p w14:paraId="19722D44" w14:textId="22A3C26F" w:rsidR="7B14347E" w:rsidRDefault="7B14347E" w:rsidP="7B14347E">
            <w:pPr>
              <w:rPr>
                <w:rFonts w:ascii="Arial" w:eastAsia="Arial" w:hAnsi="Arial" w:cs="Arial"/>
                <w:color w:val="000000" w:themeColor="text1"/>
              </w:rPr>
            </w:pPr>
            <w:r w:rsidRPr="7B14347E">
              <w:rPr>
                <w:rFonts w:ascii="Arial" w:eastAsia="Arial" w:hAnsi="Arial" w:cs="Arial"/>
                <w:b/>
                <w:bCs/>
                <w:color w:val="000000" w:themeColor="text1"/>
              </w:rPr>
              <w:t>Cargo</w:t>
            </w:r>
          </w:p>
        </w:tc>
        <w:tc>
          <w:tcPr>
            <w:tcW w:w="4348" w:type="dxa"/>
            <w:vMerge/>
            <w:vAlign w:val="center"/>
          </w:tcPr>
          <w:p w14:paraId="153DFB61" w14:textId="77777777" w:rsidR="0068435F" w:rsidRDefault="0068435F"/>
        </w:tc>
      </w:tr>
      <w:tr w:rsidR="7B14347E" w14:paraId="331E2CBC" w14:textId="77777777" w:rsidTr="16AA4CC0">
        <w:trPr>
          <w:trHeight w:val="330"/>
        </w:trPr>
        <w:tc>
          <w:tcPr>
            <w:tcW w:w="1759" w:type="dxa"/>
            <w:tcMar>
              <w:left w:w="105" w:type="dxa"/>
              <w:right w:w="105" w:type="dxa"/>
            </w:tcMar>
            <w:vAlign w:val="center"/>
          </w:tcPr>
          <w:p w14:paraId="6092DA6D" w14:textId="334977ED" w:rsidR="7B14347E" w:rsidRDefault="7B14347E" w:rsidP="7B14347E">
            <w:pPr>
              <w:rPr>
                <w:rFonts w:ascii="Arial" w:eastAsia="Arial" w:hAnsi="Arial" w:cs="Arial"/>
                <w:color w:val="000000" w:themeColor="text1"/>
              </w:rPr>
            </w:pPr>
            <w:r w:rsidRPr="7B14347E">
              <w:rPr>
                <w:rFonts w:ascii="Arial" w:eastAsia="Arial" w:hAnsi="Arial" w:cs="Arial"/>
                <w:b/>
                <w:bCs/>
                <w:color w:val="000000" w:themeColor="text1"/>
              </w:rPr>
              <w:t>Fecha</w:t>
            </w:r>
          </w:p>
        </w:tc>
        <w:tc>
          <w:tcPr>
            <w:tcW w:w="1759" w:type="dxa"/>
            <w:vMerge/>
            <w:vAlign w:val="center"/>
          </w:tcPr>
          <w:p w14:paraId="6576B87E" w14:textId="77777777" w:rsidR="0068435F" w:rsidRDefault="0068435F"/>
        </w:tc>
        <w:tc>
          <w:tcPr>
            <w:tcW w:w="1759" w:type="dxa"/>
            <w:tcMar>
              <w:left w:w="105" w:type="dxa"/>
              <w:right w:w="105" w:type="dxa"/>
            </w:tcMar>
            <w:vAlign w:val="center"/>
          </w:tcPr>
          <w:p w14:paraId="61A68EE3" w14:textId="18A1A25A" w:rsidR="7B14347E" w:rsidRDefault="7B14347E" w:rsidP="7B14347E">
            <w:pPr>
              <w:rPr>
                <w:rFonts w:ascii="Arial" w:eastAsia="Arial" w:hAnsi="Arial" w:cs="Arial"/>
                <w:color w:val="000000" w:themeColor="text1"/>
              </w:rPr>
            </w:pPr>
            <w:r w:rsidRPr="7B14347E">
              <w:rPr>
                <w:rFonts w:ascii="Arial" w:eastAsia="Arial" w:hAnsi="Arial" w:cs="Arial"/>
                <w:b/>
                <w:bCs/>
                <w:color w:val="000000" w:themeColor="text1"/>
              </w:rPr>
              <w:t>Fecha</w:t>
            </w:r>
          </w:p>
        </w:tc>
        <w:tc>
          <w:tcPr>
            <w:tcW w:w="1759" w:type="dxa"/>
            <w:vMerge/>
            <w:vAlign w:val="center"/>
          </w:tcPr>
          <w:p w14:paraId="16EBAFF3" w14:textId="77777777" w:rsidR="0068435F" w:rsidRDefault="0068435F"/>
        </w:tc>
        <w:tc>
          <w:tcPr>
            <w:tcW w:w="1759" w:type="dxa"/>
            <w:tcMar>
              <w:left w:w="105" w:type="dxa"/>
              <w:right w:w="105" w:type="dxa"/>
            </w:tcMar>
            <w:vAlign w:val="center"/>
          </w:tcPr>
          <w:p w14:paraId="41360088" w14:textId="668AC04E" w:rsidR="7B14347E" w:rsidRDefault="7B14347E" w:rsidP="7B14347E">
            <w:pPr>
              <w:rPr>
                <w:rFonts w:ascii="Arial" w:eastAsia="Arial" w:hAnsi="Arial" w:cs="Arial"/>
                <w:color w:val="000000" w:themeColor="text1"/>
              </w:rPr>
            </w:pPr>
            <w:r w:rsidRPr="7B14347E">
              <w:rPr>
                <w:rFonts w:ascii="Arial" w:eastAsia="Arial" w:hAnsi="Arial" w:cs="Arial"/>
                <w:b/>
                <w:bCs/>
                <w:color w:val="000000" w:themeColor="text1"/>
              </w:rPr>
              <w:t>Fecha</w:t>
            </w:r>
          </w:p>
        </w:tc>
        <w:tc>
          <w:tcPr>
            <w:tcW w:w="4348" w:type="dxa"/>
            <w:vMerge/>
            <w:vAlign w:val="center"/>
          </w:tcPr>
          <w:p w14:paraId="7DE2A3E2" w14:textId="77777777" w:rsidR="0068435F" w:rsidRDefault="0068435F"/>
        </w:tc>
      </w:tr>
    </w:tbl>
    <w:p w14:paraId="1FF3C908" w14:textId="4405DD91" w:rsidR="7B14347E" w:rsidRDefault="7B14347E" w:rsidP="7B14347E">
      <w:pPr>
        <w:spacing w:after="0" w:line="360" w:lineRule="auto"/>
        <w:rPr>
          <w:rFonts w:ascii="Arial" w:hAnsi="Arial" w:cs="Arial"/>
          <w:color w:val="000000" w:themeColor="text1"/>
          <w:sz w:val="24"/>
          <w:szCs w:val="24"/>
        </w:rPr>
      </w:pPr>
    </w:p>
    <w:p w14:paraId="7E4EF0B4" w14:textId="77777777" w:rsidR="00E27E65" w:rsidRDefault="00E27E65">
      <w:pPr>
        <w:rPr>
          <w:rFonts w:ascii="Arial" w:hAnsi="Arial" w:cs="Arial"/>
          <w:i/>
          <w:iCs/>
          <w:color w:val="AEAAAA" w:themeColor="background2" w:themeShade="BF"/>
          <w:shd w:val="clear" w:color="auto" w:fill="FFFFFF"/>
        </w:rPr>
      </w:pPr>
    </w:p>
    <w:p w14:paraId="17BFD451" w14:textId="07B2E10A" w:rsidR="004A58CA" w:rsidRDefault="004A58CA" w:rsidP="00862357">
      <w:pPr>
        <w:rPr>
          <w:rFonts w:ascii="Arial" w:hAnsi="Arial" w:cs="Arial"/>
          <w:i/>
          <w:iCs/>
          <w:color w:val="AEAAAA" w:themeColor="background2" w:themeShade="BF"/>
          <w:shd w:val="clear" w:color="auto" w:fill="FFFFFF"/>
        </w:rPr>
      </w:pPr>
    </w:p>
    <w:p w14:paraId="69D6EFBD" w14:textId="77777777" w:rsidR="009072AA" w:rsidRDefault="009072AA" w:rsidP="00862357">
      <w:pPr>
        <w:rPr>
          <w:rFonts w:ascii="Arial" w:hAnsi="Arial" w:cs="Arial"/>
          <w:i/>
          <w:iCs/>
          <w:color w:val="AEAAAA" w:themeColor="background2" w:themeShade="BF"/>
          <w:shd w:val="clear" w:color="auto" w:fill="FFFFFF"/>
        </w:rPr>
      </w:pPr>
    </w:p>
    <w:p w14:paraId="2FC2BC4C" w14:textId="77777777" w:rsidR="009072AA" w:rsidRDefault="009072AA" w:rsidP="00862357">
      <w:pPr>
        <w:rPr>
          <w:rFonts w:ascii="Arial" w:hAnsi="Arial" w:cs="Arial"/>
          <w:i/>
          <w:iCs/>
          <w:color w:val="AEAAAA" w:themeColor="background2" w:themeShade="BF"/>
          <w:shd w:val="clear" w:color="auto" w:fill="FFFFFF"/>
        </w:rPr>
      </w:pPr>
    </w:p>
    <w:p w14:paraId="6E3F9435" w14:textId="4E93C7F4" w:rsidR="00553B1F" w:rsidRPr="00BB5666" w:rsidRDefault="00553B1F" w:rsidP="00862357"/>
    <w:sectPr w:rsidR="00553B1F" w:rsidRPr="00BB5666" w:rsidSect="00903DFA">
      <w:headerReference w:type="default" r:id="rId11"/>
      <w:footerReference w:type="default" r:id="rId12"/>
      <w:pgSz w:w="15840" w:h="12240" w:orient="landscape"/>
      <w:pgMar w:top="1701" w:right="1417" w:bottom="1701" w:left="1417"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9884B" w14:textId="77777777" w:rsidR="000047B5" w:rsidRDefault="000047B5" w:rsidP="00781A83">
      <w:pPr>
        <w:spacing w:after="0" w:line="240" w:lineRule="auto"/>
      </w:pPr>
      <w:r>
        <w:separator/>
      </w:r>
    </w:p>
  </w:endnote>
  <w:endnote w:type="continuationSeparator" w:id="0">
    <w:p w14:paraId="54BA938B" w14:textId="77777777" w:rsidR="000047B5" w:rsidRDefault="000047B5" w:rsidP="00781A83">
      <w:pPr>
        <w:spacing w:after="0" w:line="240" w:lineRule="auto"/>
      </w:pPr>
      <w:r>
        <w:continuationSeparator/>
      </w:r>
    </w:p>
  </w:endnote>
  <w:endnote w:type="continuationNotice" w:id="1">
    <w:p w14:paraId="6C0B296C" w14:textId="77777777" w:rsidR="000047B5" w:rsidRDefault="000047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0616285"/>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52635B65" w14:textId="2AA14EC9" w:rsidR="00D34ABC" w:rsidRPr="0054483B" w:rsidRDefault="00D34ABC">
            <w:pPr>
              <w:pStyle w:val="Piedepgina"/>
              <w:jc w:val="right"/>
              <w:rPr>
                <w:rFonts w:ascii="Arial" w:hAnsi="Arial" w:cs="Arial"/>
                <w:sz w:val="18"/>
                <w:szCs w:val="18"/>
              </w:rPr>
            </w:pPr>
            <w:r w:rsidRPr="0054483B">
              <w:rPr>
                <w:rFonts w:ascii="Arial" w:hAnsi="Arial" w:cs="Arial"/>
                <w:sz w:val="18"/>
                <w:szCs w:val="18"/>
                <w:lang w:val="es-ES"/>
              </w:rPr>
              <w:t xml:space="preserve">Página </w:t>
            </w:r>
            <w:r w:rsidRPr="0054483B">
              <w:rPr>
                <w:rFonts w:ascii="Arial" w:hAnsi="Arial" w:cs="Arial"/>
                <w:b/>
                <w:bCs/>
                <w:sz w:val="18"/>
                <w:szCs w:val="18"/>
              </w:rPr>
              <w:fldChar w:fldCharType="begin"/>
            </w:r>
            <w:r w:rsidRPr="0054483B">
              <w:rPr>
                <w:rFonts w:ascii="Arial" w:hAnsi="Arial" w:cs="Arial"/>
                <w:b/>
                <w:bCs/>
                <w:sz w:val="18"/>
                <w:szCs w:val="18"/>
              </w:rPr>
              <w:instrText>PAGE</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r w:rsidRPr="0054483B">
              <w:rPr>
                <w:rFonts w:ascii="Arial" w:hAnsi="Arial" w:cs="Arial"/>
                <w:sz w:val="18"/>
                <w:szCs w:val="18"/>
                <w:lang w:val="es-ES"/>
              </w:rPr>
              <w:t xml:space="preserve"> de </w:t>
            </w:r>
            <w:r w:rsidRPr="0054483B">
              <w:rPr>
                <w:rFonts w:ascii="Arial" w:hAnsi="Arial" w:cs="Arial"/>
                <w:b/>
                <w:bCs/>
                <w:sz w:val="18"/>
                <w:szCs w:val="18"/>
              </w:rPr>
              <w:fldChar w:fldCharType="begin"/>
            </w:r>
            <w:r w:rsidRPr="0054483B">
              <w:rPr>
                <w:rFonts w:ascii="Arial" w:hAnsi="Arial" w:cs="Arial"/>
                <w:b/>
                <w:bCs/>
                <w:sz w:val="18"/>
                <w:szCs w:val="18"/>
              </w:rPr>
              <w:instrText>NUMPAGES</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p>
        </w:sdtContent>
      </w:sdt>
    </w:sdtContent>
  </w:sdt>
  <w:p w14:paraId="65152CF3" w14:textId="62F12663" w:rsidR="000911BE" w:rsidRDefault="000911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7D764" w14:textId="77777777" w:rsidR="000047B5" w:rsidRDefault="000047B5" w:rsidP="00781A83">
      <w:pPr>
        <w:spacing w:after="0" w:line="240" w:lineRule="auto"/>
      </w:pPr>
      <w:r>
        <w:separator/>
      </w:r>
    </w:p>
  </w:footnote>
  <w:footnote w:type="continuationSeparator" w:id="0">
    <w:p w14:paraId="5E84DEC7" w14:textId="77777777" w:rsidR="000047B5" w:rsidRDefault="000047B5" w:rsidP="00781A83">
      <w:pPr>
        <w:spacing w:after="0" w:line="240" w:lineRule="auto"/>
      </w:pPr>
      <w:r>
        <w:continuationSeparator/>
      </w:r>
    </w:p>
  </w:footnote>
  <w:footnote w:type="continuationNotice" w:id="1">
    <w:p w14:paraId="3F6F72BB" w14:textId="77777777" w:rsidR="000047B5" w:rsidRDefault="000047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975" w:type="dxa"/>
      <w:tblInd w:w="-506" w:type="dxa"/>
      <w:tblLook w:val="04A0" w:firstRow="1" w:lastRow="0" w:firstColumn="1" w:lastColumn="0" w:noHBand="0" w:noVBand="1"/>
    </w:tblPr>
    <w:tblGrid>
      <w:gridCol w:w="2486"/>
      <w:gridCol w:w="7943"/>
      <w:gridCol w:w="1632"/>
      <w:gridCol w:w="1914"/>
    </w:tblGrid>
    <w:tr w:rsidR="00781A83" w:rsidRPr="00781A83" w14:paraId="601C8519" w14:textId="77777777" w:rsidTr="7AC06AA1">
      <w:trPr>
        <w:trHeight w:val="412"/>
      </w:trPr>
      <w:tc>
        <w:tcPr>
          <w:tcW w:w="2486" w:type="dxa"/>
          <w:tcBorders>
            <w:bottom w:val="nil"/>
          </w:tcBorders>
        </w:tcPr>
        <w:p w14:paraId="38DE6ADD" w14:textId="1079847C" w:rsidR="00781A83" w:rsidRPr="00781A83" w:rsidRDefault="00781A83" w:rsidP="00781A83">
          <w:pPr>
            <w:tabs>
              <w:tab w:val="center" w:pos="4419"/>
              <w:tab w:val="right" w:pos="8838"/>
            </w:tabs>
            <w:spacing w:before="240"/>
            <w:rPr>
              <w:rFonts w:ascii="Arial" w:hAnsi="Arial" w:cs="Arial"/>
              <w:b/>
              <w:bCs/>
            </w:rPr>
          </w:pPr>
        </w:p>
      </w:tc>
      <w:tc>
        <w:tcPr>
          <w:tcW w:w="7943" w:type="dxa"/>
          <w:vAlign w:val="center"/>
        </w:tcPr>
        <w:p w14:paraId="47B676C1" w14:textId="38FCA9B5" w:rsidR="00781A83" w:rsidRPr="00781A83" w:rsidRDefault="7AC06AA1" w:rsidP="00B1733C">
          <w:pPr>
            <w:tabs>
              <w:tab w:val="center" w:pos="4419"/>
              <w:tab w:val="right" w:pos="8838"/>
            </w:tabs>
            <w:jc w:val="center"/>
            <w:rPr>
              <w:rFonts w:ascii="Arial" w:hAnsi="Arial" w:cs="Arial"/>
              <w:b/>
              <w:bCs/>
            </w:rPr>
          </w:pPr>
          <w:r w:rsidRPr="7AC06AA1">
            <w:rPr>
              <w:rFonts w:ascii="Arial" w:hAnsi="Arial" w:cs="Arial"/>
              <w:b/>
              <w:bCs/>
            </w:rPr>
            <w:t>GESTIÓN JURÍDICA</w:t>
          </w:r>
        </w:p>
      </w:tc>
      <w:tc>
        <w:tcPr>
          <w:tcW w:w="1632" w:type="dxa"/>
          <w:vAlign w:val="center"/>
        </w:tcPr>
        <w:p w14:paraId="3DF6951E"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CÓDIGO</w:t>
          </w:r>
        </w:p>
      </w:tc>
      <w:tc>
        <w:tcPr>
          <w:tcW w:w="1914" w:type="dxa"/>
          <w:vAlign w:val="center"/>
        </w:tcPr>
        <w:p w14:paraId="61BDAE07" w14:textId="5CD17B4A" w:rsidR="7B14347E" w:rsidRDefault="7B14347E" w:rsidP="7B14347E">
          <w:pPr>
            <w:jc w:val="center"/>
            <w:rPr>
              <w:rFonts w:ascii="Aptos Display" w:eastAsia="Aptos Display" w:hAnsi="Aptos Display" w:cs="Aptos Display"/>
              <w:b/>
              <w:bCs/>
            </w:rPr>
          </w:pPr>
          <w:r w:rsidRPr="7B14347E">
            <w:rPr>
              <w:rFonts w:ascii="Aptos Display" w:eastAsia="Aptos Display" w:hAnsi="Aptos Display" w:cs="Aptos Display"/>
              <w:b/>
              <w:bCs/>
            </w:rPr>
            <w:t>A5-PD-4</w:t>
          </w:r>
        </w:p>
      </w:tc>
    </w:tr>
    <w:tr w:rsidR="00781A83" w:rsidRPr="00781A83" w14:paraId="0BA42DA7" w14:textId="77777777" w:rsidTr="7AC06AA1">
      <w:trPr>
        <w:trHeight w:val="491"/>
      </w:trPr>
      <w:tc>
        <w:tcPr>
          <w:tcW w:w="2486" w:type="dxa"/>
          <w:tcBorders>
            <w:top w:val="nil"/>
            <w:bottom w:val="nil"/>
          </w:tcBorders>
        </w:tcPr>
        <w:p w14:paraId="412B0738" w14:textId="20DC52A1" w:rsidR="00781A83" w:rsidRPr="00781A83" w:rsidRDefault="00E13C65" w:rsidP="00781A83">
          <w:pPr>
            <w:tabs>
              <w:tab w:val="center" w:pos="4419"/>
              <w:tab w:val="right" w:pos="8838"/>
            </w:tabs>
            <w:spacing w:before="240"/>
            <w:rPr>
              <w:rFonts w:ascii="Arial" w:hAnsi="Arial" w:cs="Arial"/>
              <w:b/>
              <w:bCs/>
            </w:rPr>
          </w:pPr>
          <w:r w:rsidRPr="002E6EDE">
            <w:rPr>
              <w:rFonts w:cs="Arial"/>
              <w:b/>
              <w:bCs/>
              <w:noProof/>
            </w:rPr>
            <w:drawing>
              <wp:anchor distT="0" distB="0" distL="114300" distR="114300" simplePos="0" relativeHeight="251697152" behindDoc="0" locked="0" layoutInCell="1" allowOverlap="1" wp14:anchorId="1DA001B3" wp14:editId="6E1C6CB4">
                <wp:simplePos x="0" y="0"/>
                <wp:positionH relativeFrom="column">
                  <wp:posOffset>47595</wp:posOffset>
                </wp:positionH>
                <wp:positionV relativeFrom="paragraph">
                  <wp:posOffset>-264499</wp:posOffset>
                </wp:positionV>
                <wp:extent cx="1374775" cy="819150"/>
                <wp:effectExtent l="0" t="0" r="0" b="0"/>
                <wp:wrapNone/>
                <wp:docPr id="559334950" name="Imagen 559334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943" w:type="dxa"/>
          <w:vMerge w:val="restart"/>
          <w:vAlign w:val="center"/>
        </w:tcPr>
        <w:p w14:paraId="2AC0C1D7" w14:textId="559EDE85" w:rsidR="00781A83" w:rsidRPr="00781A83" w:rsidRDefault="005F0BB4" w:rsidP="00A80442">
          <w:pPr>
            <w:tabs>
              <w:tab w:val="center" w:pos="4419"/>
              <w:tab w:val="right" w:pos="8838"/>
            </w:tabs>
            <w:jc w:val="center"/>
            <w:rPr>
              <w:rFonts w:ascii="Arial" w:hAnsi="Arial" w:cs="Arial"/>
              <w:b/>
              <w:bCs/>
            </w:rPr>
          </w:pPr>
          <w:r>
            <w:rPr>
              <w:rFonts w:ascii="Arial" w:hAnsi="Arial" w:cs="Arial"/>
              <w:b/>
              <w:bCs/>
            </w:rPr>
            <w:t xml:space="preserve">PROCEDIMIENTO </w:t>
          </w:r>
          <w:r w:rsidR="00476B72" w:rsidRPr="00476B72">
            <w:rPr>
              <w:rFonts w:ascii="Arial" w:hAnsi="Arial" w:cs="Arial"/>
              <w:b/>
              <w:bCs/>
            </w:rPr>
            <w:t>EVALUAR LA PROBABILIDAD DE PERDIDA DE PROCESOS JUDICIALES Y LAUDOS ARBITRALES</w:t>
          </w:r>
        </w:p>
      </w:tc>
      <w:tc>
        <w:tcPr>
          <w:tcW w:w="1632" w:type="dxa"/>
          <w:vAlign w:val="center"/>
        </w:tcPr>
        <w:p w14:paraId="3FD92E6C"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VERSIÓN</w:t>
          </w:r>
        </w:p>
      </w:tc>
      <w:tc>
        <w:tcPr>
          <w:tcW w:w="1914" w:type="dxa"/>
          <w:vAlign w:val="center"/>
        </w:tcPr>
        <w:p w14:paraId="09D6AC7F" w14:textId="32FD018E" w:rsidR="00781A83" w:rsidRPr="00617183" w:rsidRDefault="16AA4CC0" w:rsidP="7B14347E">
          <w:pPr>
            <w:tabs>
              <w:tab w:val="center" w:pos="4419"/>
              <w:tab w:val="right" w:pos="8838"/>
            </w:tabs>
            <w:jc w:val="center"/>
            <w:rPr>
              <w:rFonts w:ascii="Arial" w:hAnsi="Arial" w:cs="Arial"/>
              <w:b/>
              <w:bCs/>
              <w:sz w:val="20"/>
              <w:szCs w:val="20"/>
            </w:rPr>
          </w:pPr>
          <w:r w:rsidRPr="16AA4CC0">
            <w:rPr>
              <w:rFonts w:ascii="Arial" w:hAnsi="Arial" w:cs="Arial"/>
              <w:b/>
              <w:bCs/>
              <w:sz w:val="20"/>
              <w:szCs w:val="20"/>
            </w:rPr>
            <w:t>1</w:t>
          </w:r>
        </w:p>
      </w:tc>
    </w:tr>
    <w:tr w:rsidR="00781A83" w:rsidRPr="00781A83" w14:paraId="49D2DAAB" w14:textId="77777777" w:rsidTr="7AC06AA1">
      <w:trPr>
        <w:trHeight w:val="288"/>
      </w:trPr>
      <w:tc>
        <w:tcPr>
          <w:tcW w:w="2486" w:type="dxa"/>
          <w:tcBorders>
            <w:top w:val="nil"/>
          </w:tcBorders>
        </w:tcPr>
        <w:p w14:paraId="347804E9" w14:textId="77777777" w:rsidR="00781A83" w:rsidRPr="00781A83" w:rsidRDefault="00781A83" w:rsidP="00781A83">
          <w:pPr>
            <w:tabs>
              <w:tab w:val="center" w:pos="4419"/>
              <w:tab w:val="right" w:pos="8838"/>
            </w:tabs>
            <w:spacing w:before="240"/>
            <w:rPr>
              <w:rFonts w:ascii="Arial" w:hAnsi="Arial" w:cs="Arial"/>
              <w:b/>
              <w:bCs/>
            </w:rPr>
          </w:pPr>
        </w:p>
      </w:tc>
      <w:tc>
        <w:tcPr>
          <w:tcW w:w="7943" w:type="dxa"/>
          <w:vMerge/>
          <w:vAlign w:val="center"/>
        </w:tcPr>
        <w:p w14:paraId="7B611CAF" w14:textId="77777777" w:rsidR="00781A83" w:rsidRPr="00781A83" w:rsidRDefault="00781A83" w:rsidP="00B1733C">
          <w:pPr>
            <w:tabs>
              <w:tab w:val="center" w:pos="4419"/>
              <w:tab w:val="right" w:pos="8838"/>
            </w:tabs>
            <w:jc w:val="center"/>
            <w:rPr>
              <w:rFonts w:ascii="Arial" w:hAnsi="Arial" w:cs="Arial"/>
              <w:b/>
              <w:bCs/>
            </w:rPr>
          </w:pPr>
        </w:p>
      </w:tc>
      <w:tc>
        <w:tcPr>
          <w:tcW w:w="1632" w:type="dxa"/>
          <w:vAlign w:val="center"/>
        </w:tcPr>
        <w:p w14:paraId="57964EB3"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FECHA</w:t>
          </w:r>
        </w:p>
      </w:tc>
      <w:tc>
        <w:tcPr>
          <w:tcW w:w="1914" w:type="dxa"/>
          <w:vAlign w:val="center"/>
        </w:tcPr>
        <w:p w14:paraId="3C55FCDF" w14:textId="0B5297C6" w:rsidR="00781A83" w:rsidRPr="00781A83" w:rsidRDefault="5F8AF046" w:rsidP="7B14347E">
          <w:pPr>
            <w:tabs>
              <w:tab w:val="center" w:pos="4419"/>
              <w:tab w:val="right" w:pos="8838"/>
            </w:tabs>
            <w:jc w:val="center"/>
            <w:rPr>
              <w:rFonts w:ascii="Arial" w:hAnsi="Arial" w:cs="Arial"/>
              <w:b/>
              <w:bCs/>
              <w:sz w:val="20"/>
              <w:szCs w:val="20"/>
            </w:rPr>
          </w:pPr>
          <w:r w:rsidRPr="5F8AF046">
            <w:rPr>
              <w:rFonts w:ascii="Arial" w:hAnsi="Arial" w:cs="Arial"/>
              <w:b/>
              <w:bCs/>
              <w:sz w:val="20"/>
              <w:szCs w:val="20"/>
            </w:rPr>
            <w:t>31/03/2026</w:t>
          </w:r>
        </w:p>
      </w:tc>
    </w:tr>
  </w:tbl>
  <w:p w14:paraId="35D82137" w14:textId="77777777" w:rsidR="00781A83" w:rsidRDefault="00781A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7508"/>
    <w:multiLevelType w:val="hybridMultilevel"/>
    <w:tmpl w:val="082E17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DA909E0"/>
    <w:multiLevelType w:val="hybridMultilevel"/>
    <w:tmpl w:val="387E94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814417718">
    <w:abstractNumId w:val="0"/>
  </w:num>
  <w:num w:numId="2" w16cid:durableId="1902791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83"/>
    <w:rsid w:val="000047B5"/>
    <w:rsid w:val="00012832"/>
    <w:rsid w:val="00017E6C"/>
    <w:rsid w:val="00022B28"/>
    <w:rsid w:val="00080E46"/>
    <w:rsid w:val="000911BE"/>
    <w:rsid w:val="00093866"/>
    <w:rsid w:val="000B3F6A"/>
    <w:rsid w:val="000B4078"/>
    <w:rsid w:val="000C03D5"/>
    <w:rsid w:val="000C3B29"/>
    <w:rsid w:val="000D4C44"/>
    <w:rsid w:val="00100BB9"/>
    <w:rsid w:val="00110DE6"/>
    <w:rsid w:val="00134D11"/>
    <w:rsid w:val="00134DC7"/>
    <w:rsid w:val="00136313"/>
    <w:rsid w:val="00142511"/>
    <w:rsid w:val="00153C22"/>
    <w:rsid w:val="00164C0D"/>
    <w:rsid w:val="00193717"/>
    <w:rsid w:val="001A69C4"/>
    <w:rsid w:val="001B7166"/>
    <w:rsid w:val="001C0C07"/>
    <w:rsid w:val="001E3926"/>
    <w:rsid w:val="001E7A16"/>
    <w:rsid w:val="001F43F9"/>
    <w:rsid w:val="00203B8B"/>
    <w:rsid w:val="00210FD3"/>
    <w:rsid w:val="00215231"/>
    <w:rsid w:val="00220018"/>
    <w:rsid w:val="00234EFE"/>
    <w:rsid w:val="00245200"/>
    <w:rsid w:val="00246161"/>
    <w:rsid w:val="0024781B"/>
    <w:rsid w:val="002525A8"/>
    <w:rsid w:val="00253BA2"/>
    <w:rsid w:val="00260892"/>
    <w:rsid w:val="002670AF"/>
    <w:rsid w:val="002723E2"/>
    <w:rsid w:val="002B38A4"/>
    <w:rsid w:val="002C4B01"/>
    <w:rsid w:val="002C5DFD"/>
    <w:rsid w:val="002E4B4F"/>
    <w:rsid w:val="002F728A"/>
    <w:rsid w:val="0030784E"/>
    <w:rsid w:val="003131BE"/>
    <w:rsid w:val="00327E08"/>
    <w:rsid w:val="00337812"/>
    <w:rsid w:val="00351805"/>
    <w:rsid w:val="003531CA"/>
    <w:rsid w:val="003537F8"/>
    <w:rsid w:val="00364948"/>
    <w:rsid w:val="00365E1C"/>
    <w:rsid w:val="00370767"/>
    <w:rsid w:val="003862EF"/>
    <w:rsid w:val="00391895"/>
    <w:rsid w:val="003963E7"/>
    <w:rsid w:val="003A287D"/>
    <w:rsid w:val="003A7D0A"/>
    <w:rsid w:val="003B4D9A"/>
    <w:rsid w:val="003C071F"/>
    <w:rsid w:val="003C0FE4"/>
    <w:rsid w:val="003C32AF"/>
    <w:rsid w:val="003C5097"/>
    <w:rsid w:val="00426A8C"/>
    <w:rsid w:val="004277C3"/>
    <w:rsid w:val="004365A5"/>
    <w:rsid w:val="0044048A"/>
    <w:rsid w:val="00444D26"/>
    <w:rsid w:val="00446B1D"/>
    <w:rsid w:val="004616B6"/>
    <w:rsid w:val="00462FA9"/>
    <w:rsid w:val="00475A7E"/>
    <w:rsid w:val="00476B72"/>
    <w:rsid w:val="00490AEE"/>
    <w:rsid w:val="00496B70"/>
    <w:rsid w:val="004A58CA"/>
    <w:rsid w:val="004B770A"/>
    <w:rsid w:val="004C0743"/>
    <w:rsid w:val="004C541B"/>
    <w:rsid w:val="004C6011"/>
    <w:rsid w:val="004D6DD4"/>
    <w:rsid w:val="004D7212"/>
    <w:rsid w:val="004E0B04"/>
    <w:rsid w:val="004E3EE7"/>
    <w:rsid w:val="004E73ED"/>
    <w:rsid w:val="005058D3"/>
    <w:rsid w:val="005129B1"/>
    <w:rsid w:val="00525130"/>
    <w:rsid w:val="005353EF"/>
    <w:rsid w:val="005405A4"/>
    <w:rsid w:val="00543DDD"/>
    <w:rsid w:val="0054483B"/>
    <w:rsid w:val="00553B1F"/>
    <w:rsid w:val="005601E4"/>
    <w:rsid w:val="00570CDA"/>
    <w:rsid w:val="005718D6"/>
    <w:rsid w:val="00581990"/>
    <w:rsid w:val="00585EF8"/>
    <w:rsid w:val="00594D42"/>
    <w:rsid w:val="005961D9"/>
    <w:rsid w:val="0059679B"/>
    <w:rsid w:val="005A3C90"/>
    <w:rsid w:val="005C1C2D"/>
    <w:rsid w:val="005D3042"/>
    <w:rsid w:val="005E0831"/>
    <w:rsid w:val="005E2D32"/>
    <w:rsid w:val="005E7F1C"/>
    <w:rsid w:val="005F0BB4"/>
    <w:rsid w:val="005F5451"/>
    <w:rsid w:val="0060404B"/>
    <w:rsid w:val="00606858"/>
    <w:rsid w:val="00617183"/>
    <w:rsid w:val="006213F8"/>
    <w:rsid w:val="00632623"/>
    <w:rsid w:val="00643883"/>
    <w:rsid w:val="00654CE9"/>
    <w:rsid w:val="00665D48"/>
    <w:rsid w:val="006829E7"/>
    <w:rsid w:val="0068435F"/>
    <w:rsid w:val="006B72B2"/>
    <w:rsid w:val="006B7F6A"/>
    <w:rsid w:val="006F771E"/>
    <w:rsid w:val="007120B3"/>
    <w:rsid w:val="00712734"/>
    <w:rsid w:val="00722549"/>
    <w:rsid w:val="00725ABE"/>
    <w:rsid w:val="00754079"/>
    <w:rsid w:val="0076470A"/>
    <w:rsid w:val="00775B09"/>
    <w:rsid w:val="00780F20"/>
    <w:rsid w:val="00781A83"/>
    <w:rsid w:val="00787CF4"/>
    <w:rsid w:val="00792347"/>
    <w:rsid w:val="007A6C20"/>
    <w:rsid w:val="007B36DD"/>
    <w:rsid w:val="007B75A0"/>
    <w:rsid w:val="007B7BF7"/>
    <w:rsid w:val="007D0625"/>
    <w:rsid w:val="007D68C3"/>
    <w:rsid w:val="007E2E39"/>
    <w:rsid w:val="007E334D"/>
    <w:rsid w:val="007E6BFB"/>
    <w:rsid w:val="007F26BC"/>
    <w:rsid w:val="007F31BC"/>
    <w:rsid w:val="007F475E"/>
    <w:rsid w:val="007F671A"/>
    <w:rsid w:val="00803AF7"/>
    <w:rsid w:val="008155B2"/>
    <w:rsid w:val="00823192"/>
    <w:rsid w:val="00825B0C"/>
    <w:rsid w:val="00832688"/>
    <w:rsid w:val="00844042"/>
    <w:rsid w:val="00850A22"/>
    <w:rsid w:val="00862357"/>
    <w:rsid w:val="00865718"/>
    <w:rsid w:val="008702F7"/>
    <w:rsid w:val="00875C0B"/>
    <w:rsid w:val="008914B1"/>
    <w:rsid w:val="008952A9"/>
    <w:rsid w:val="00895D93"/>
    <w:rsid w:val="008A40F0"/>
    <w:rsid w:val="008A529B"/>
    <w:rsid w:val="008A66BC"/>
    <w:rsid w:val="008B4610"/>
    <w:rsid w:val="008C62DE"/>
    <w:rsid w:val="008C7B7E"/>
    <w:rsid w:val="008D0159"/>
    <w:rsid w:val="008E2C67"/>
    <w:rsid w:val="008E3C55"/>
    <w:rsid w:val="008E5C52"/>
    <w:rsid w:val="00903DFA"/>
    <w:rsid w:val="00904F14"/>
    <w:rsid w:val="00905FE6"/>
    <w:rsid w:val="009072AA"/>
    <w:rsid w:val="00925335"/>
    <w:rsid w:val="0093563D"/>
    <w:rsid w:val="00953356"/>
    <w:rsid w:val="00955475"/>
    <w:rsid w:val="00963798"/>
    <w:rsid w:val="0099412B"/>
    <w:rsid w:val="009B00BA"/>
    <w:rsid w:val="009C48B8"/>
    <w:rsid w:val="009F0F86"/>
    <w:rsid w:val="009F2198"/>
    <w:rsid w:val="009F75EA"/>
    <w:rsid w:val="00A16D93"/>
    <w:rsid w:val="00A40F9E"/>
    <w:rsid w:val="00A424BC"/>
    <w:rsid w:val="00A44A79"/>
    <w:rsid w:val="00A516EF"/>
    <w:rsid w:val="00A55E0E"/>
    <w:rsid w:val="00A61AC5"/>
    <w:rsid w:val="00A65735"/>
    <w:rsid w:val="00A67260"/>
    <w:rsid w:val="00A80442"/>
    <w:rsid w:val="00A83BEB"/>
    <w:rsid w:val="00A855BF"/>
    <w:rsid w:val="00A90B3A"/>
    <w:rsid w:val="00A910A5"/>
    <w:rsid w:val="00AA040E"/>
    <w:rsid w:val="00AC2B97"/>
    <w:rsid w:val="00AC5182"/>
    <w:rsid w:val="00AD0AA7"/>
    <w:rsid w:val="00AD2175"/>
    <w:rsid w:val="00AE4BD1"/>
    <w:rsid w:val="00AF55EA"/>
    <w:rsid w:val="00AF7D06"/>
    <w:rsid w:val="00B0688C"/>
    <w:rsid w:val="00B1733C"/>
    <w:rsid w:val="00B207E4"/>
    <w:rsid w:val="00B26358"/>
    <w:rsid w:val="00B373FF"/>
    <w:rsid w:val="00B43E75"/>
    <w:rsid w:val="00B44DF0"/>
    <w:rsid w:val="00B85AEE"/>
    <w:rsid w:val="00B86243"/>
    <w:rsid w:val="00B918A0"/>
    <w:rsid w:val="00BB074F"/>
    <w:rsid w:val="00BB5666"/>
    <w:rsid w:val="00BB6F60"/>
    <w:rsid w:val="00BB7790"/>
    <w:rsid w:val="00BC3926"/>
    <w:rsid w:val="00BD4075"/>
    <w:rsid w:val="00BF655C"/>
    <w:rsid w:val="00C108A8"/>
    <w:rsid w:val="00C11EAF"/>
    <w:rsid w:val="00C13446"/>
    <w:rsid w:val="00C40439"/>
    <w:rsid w:val="00C41D2B"/>
    <w:rsid w:val="00C559CD"/>
    <w:rsid w:val="00C733A8"/>
    <w:rsid w:val="00C83DC4"/>
    <w:rsid w:val="00C8476A"/>
    <w:rsid w:val="00C939C5"/>
    <w:rsid w:val="00CA3FE2"/>
    <w:rsid w:val="00CB2B73"/>
    <w:rsid w:val="00CC4357"/>
    <w:rsid w:val="00CE0D33"/>
    <w:rsid w:val="00CE1DDD"/>
    <w:rsid w:val="00CE2EE8"/>
    <w:rsid w:val="00CE2F3C"/>
    <w:rsid w:val="00CF08EC"/>
    <w:rsid w:val="00CF1BFC"/>
    <w:rsid w:val="00D1711B"/>
    <w:rsid w:val="00D34ABC"/>
    <w:rsid w:val="00D5226E"/>
    <w:rsid w:val="00D540D4"/>
    <w:rsid w:val="00D670B4"/>
    <w:rsid w:val="00D921E9"/>
    <w:rsid w:val="00D9357B"/>
    <w:rsid w:val="00DB00DD"/>
    <w:rsid w:val="00DC07A3"/>
    <w:rsid w:val="00DD229F"/>
    <w:rsid w:val="00DE26C2"/>
    <w:rsid w:val="00DE3139"/>
    <w:rsid w:val="00DF4760"/>
    <w:rsid w:val="00DF653E"/>
    <w:rsid w:val="00DF6608"/>
    <w:rsid w:val="00DF7D87"/>
    <w:rsid w:val="00E064FB"/>
    <w:rsid w:val="00E112DF"/>
    <w:rsid w:val="00E13A50"/>
    <w:rsid w:val="00E13C65"/>
    <w:rsid w:val="00E15836"/>
    <w:rsid w:val="00E1727F"/>
    <w:rsid w:val="00E27E65"/>
    <w:rsid w:val="00E336FA"/>
    <w:rsid w:val="00E52B64"/>
    <w:rsid w:val="00E5311C"/>
    <w:rsid w:val="00E60910"/>
    <w:rsid w:val="00E6100A"/>
    <w:rsid w:val="00E66531"/>
    <w:rsid w:val="00E668A5"/>
    <w:rsid w:val="00E72AFA"/>
    <w:rsid w:val="00E81CA6"/>
    <w:rsid w:val="00E8302E"/>
    <w:rsid w:val="00E87174"/>
    <w:rsid w:val="00EA0E6B"/>
    <w:rsid w:val="00EB715F"/>
    <w:rsid w:val="00EC510E"/>
    <w:rsid w:val="00ED57F3"/>
    <w:rsid w:val="00EF33F3"/>
    <w:rsid w:val="00F062FF"/>
    <w:rsid w:val="00F215F3"/>
    <w:rsid w:val="00F23750"/>
    <w:rsid w:val="00F305C9"/>
    <w:rsid w:val="00F37311"/>
    <w:rsid w:val="00F53C72"/>
    <w:rsid w:val="00F60382"/>
    <w:rsid w:val="00F64D69"/>
    <w:rsid w:val="00F7112B"/>
    <w:rsid w:val="00F8026F"/>
    <w:rsid w:val="00F80C30"/>
    <w:rsid w:val="00F82D24"/>
    <w:rsid w:val="00F8639D"/>
    <w:rsid w:val="00F915E7"/>
    <w:rsid w:val="00F9194E"/>
    <w:rsid w:val="00F94DFB"/>
    <w:rsid w:val="00FA52CD"/>
    <w:rsid w:val="00FC1756"/>
    <w:rsid w:val="00FD3B25"/>
    <w:rsid w:val="00FD5948"/>
    <w:rsid w:val="00FD5B16"/>
    <w:rsid w:val="00FE0D16"/>
    <w:rsid w:val="00FF2C1C"/>
    <w:rsid w:val="00FF37F3"/>
    <w:rsid w:val="15BD962A"/>
    <w:rsid w:val="16AA4CC0"/>
    <w:rsid w:val="248A39CE"/>
    <w:rsid w:val="2C222DF4"/>
    <w:rsid w:val="2E259BC8"/>
    <w:rsid w:val="3B6E13BF"/>
    <w:rsid w:val="3F629F09"/>
    <w:rsid w:val="42717D6D"/>
    <w:rsid w:val="5F8AF046"/>
    <w:rsid w:val="64CF3FFB"/>
    <w:rsid w:val="68B536D0"/>
    <w:rsid w:val="714EB124"/>
    <w:rsid w:val="757EC2F1"/>
    <w:rsid w:val="77B4315B"/>
    <w:rsid w:val="7AC06AA1"/>
    <w:rsid w:val="7B14347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59F98"/>
  <w15:chartTrackingRefBased/>
  <w15:docId w15:val="{D5E0D257-B95D-491B-B79E-A4704DC8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1A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804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1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A83"/>
  </w:style>
  <w:style w:type="paragraph" w:styleId="Piedepgina">
    <w:name w:val="footer"/>
    <w:basedOn w:val="Normal"/>
    <w:link w:val="PiedepginaCar"/>
    <w:uiPriority w:val="99"/>
    <w:unhideWhenUsed/>
    <w:rsid w:val="00781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A83"/>
  </w:style>
  <w:style w:type="table" w:styleId="Tablaconcuadrcula">
    <w:name w:val="Table Grid"/>
    <w:basedOn w:val="Tablanormal"/>
    <w:uiPriority w:val="59"/>
    <w:rsid w:val="00781A8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81A8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A80442"/>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DF7D87"/>
    <w:rPr>
      <w:color w:val="0563C1" w:themeColor="hyperlink"/>
      <w:u w:val="single"/>
    </w:rPr>
  </w:style>
  <w:style w:type="character" w:styleId="Mencinsinresolver">
    <w:name w:val="Unresolved Mention"/>
    <w:basedOn w:val="Fuentedeprrafopredeter"/>
    <w:uiPriority w:val="99"/>
    <w:semiHidden/>
    <w:unhideWhenUsed/>
    <w:rsid w:val="00DF7D87"/>
    <w:rPr>
      <w:color w:val="605E5C"/>
      <w:shd w:val="clear" w:color="auto" w:fill="E1DFDD"/>
    </w:rPr>
  </w:style>
  <w:style w:type="character" w:styleId="Refdecomentario">
    <w:name w:val="annotation reference"/>
    <w:basedOn w:val="Fuentedeprrafopredeter"/>
    <w:uiPriority w:val="99"/>
    <w:semiHidden/>
    <w:unhideWhenUsed/>
    <w:rsid w:val="00203B8B"/>
    <w:rPr>
      <w:sz w:val="16"/>
      <w:szCs w:val="16"/>
    </w:rPr>
  </w:style>
  <w:style w:type="paragraph" w:styleId="Textocomentario">
    <w:name w:val="annotation text"/>
    <w:basedOn w:val="Normal"/>
    <w:link w:val="TextocomentarioCar"/>
    <w:uiPriority w:val="99"/>
    <w:unhideWhenUsed/>
    <w:rsid w:val="00203B8B"/>
    <w:pPr>
      <w:spacing w:line="240" w:lineRule="auto"/>
    </w:pPr>
    <w:rPr>
      <w:sz w:val="20"/>
      <w:szCs w:val="20"/>
    </w:rPr>
  </w:style>
  <w:style w:type="character" w:customStyle="1" w:styleId="TextocomentarioCar">
    <w:name w:val="Texto comentario Car"/>
    <w:basedOn w:val="Fuentedeprrafopredeter"/>
    <w:link w:val="Textocomentario"/>
    <w:uiPriority w:val="99"/>
    <w:rsid w:val="00203B8B"/>
    <w:rPr>
      <w:sz w:val="20"/>
      <w:szCs w:val="20"/>
    </w:rPr>
  </w:style>
  <w:style w:type="paragraph" w:styleId="Asuntodelcomentario">
    <w:name w:val="annotation subject"/>
    <w:basedOn w:val="Textocomentario"/>
    <w:next w:val="Textocomentario"/>
    <w:link w:val="AsuntodelcomentarioCar"/>
    <w:uiPriority w:val="99"/>
    <w:semiHidden/>
    <w:unhideWhenUsed/>
    <w:rsid w:val="00203B8B"/>
    <w:rPr>
      <w:b/>
      <w:bCs/>
    </w:rPr>
  </w:style>
  <w:style w:type="character" w:customStyle="1" w:styleId="AsuntodelcomentarioCar">
    <w:name w:val="Asunto del comentario Car"/>
    <w:basedOn w:val="TextocomentarioCar"/>
    <w:link w:val="Asuntodelcomentario"/>
    <w:uiPriority w:val="99"/>
    <w:semiHidden/>
    <w:rsid w:val="00203B8B"/>
    <w:rPr>
      <w:b/>
      <w:bCs/>
      <w:sz w:val="20"/>
      <w:szCs w:val="20"/>
    </w:rPr>
  </w:style>
  <w:style w:type="paragraph" w:styleId="Prrafodelista">
    <w:name w:val="List Paragraph"/>
    <w:basedOn w:val="Normal"/>
    <w:uiPriority w:val="34"/>
    <w:qFormat/>
    <w:rsid w:val="00A424BC"/>
    <w:pPr>
      <w:ind w:left="720"/>
      <w:contextualSpacing/>
    </w:pPr>
  </w:style>
  <w:style w:type="character" w:customStyle="1" w:styleId="normaltextrun">
    <w:name w:val="normaltextrun"/>
    <w:basedOn w:val="Fuentedeprrafopredeter"/>
    <w:rsid w:val="00654CE9"/>
  </w:style>
  <w:style w:type="character" w:customStyle="1" w:styleId="eop">
    <w:name w:val="eop"/>
    <w:basedOn w:val="Fuentedeprrafopredeter"/>
    <w:rsid w:val="00654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44">
      <w:bodyDiv w:val="1"/>
      <w:marLeft w:val="0"/>
      <w:marRight w:val="0"/>
      <w:marTop w:val="0"/>
      <w:marBottom w:val="0"/>
      <w:divBdr>
        <w:top w:val="none" w:sz="0" w:space="0" w:color="auto"/>
        <w:left w:val="none" w:sz="0" w:space="0" w:color="auto"/>
        <w:bottom w:val="none" w:sz="0" w:space="0" w:color="auto"/>
        <w:right w:val="none" w:sz="0" w:space="0" w:color="auto"/>
      </w:divBdr>
      <w:divsChild>
        <w:div w:id="730928009">
          <w:marLeft w:val="0"/>
          <w:marRight w:val="0"/>
          <w:marTop w:val="0"/>
          <w:marBottom w:val="0"/>
          <w:divBdr>
            <w:top w:val="none" w:sz="0" w:space="0" w:color="auto"/>
            <w:left w:val="none" w:sz="0" w:space="0" w:color="auto"/>
            <w:bottom w:val="none" w:sz="0" w:space="0" w:color="auto"/>
            <w:right w:val="none" w:sz="0" w:space="0" w:color="auto"/>
          </w:divBdr>
          <w:divsChild>
            <w:div w:id="1748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3919">
      <w:bodyDiv w:val="1"/>
      <w:marLeft w:val="0"/>
      <w:marRight w:val="0"/>
      <w:marTop w:val="0"/>
      <w:marBottom w:val="0"/>
      <w:divBdr>
        <w:top w:val="none" w:sz="0" w:space="0" w:color="auto"/>
        <w:left w:val="none" w:sz="0" w:space="0" w:color="auto"/>
        <w:bottom w:val="none" w:sz="0" w:space="0" w:color="auto"/>
        <w:right w:val="none" w:sz="0" w:space="0" w:color="auto"/>
      </w:divBdr>
      <w:divsChild>
        <w:div w:id="1099059196">
          <w:marLeft w:val="0"/>
          <w:marRight w:val="0"/>
          <w:marTop w:val="0"/>
          <w:marBottom w:val="0"/>
          <w:divBdr>
            <w:top w:val="none" w:sz="0" w:space="0" w:color="auto"/>
            <w:left w:val="none" w:sz="0" w:space="0" w:color="auto"/>
            <w:bottom w:val="none" w:sz="0" w:space="0" w:color="auto"/>
            <w:right w:val="none" w:sz="0" w:space="0" w:color="auto"/>
          </w:divBdr>
          <w:divsChild>
            <w:div w:id="1466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580">
      <w:bodyDiv w:val="1"/>
      <w:marLeft w:val="0"/>
      <w:marRight w:val="0"/>
      <w:marTop w:val="0"/>
      <w:marBottom w:val="0"/>
      <w:divBdr>
        <w:top w:val="none" w:sz="0" w:space="0" w:color="auto"/>
        <w:left w:val="none" w:sz="0" w:space="0" w:color="auto"/>
        <w:bottom w:val="none" w:sz="0" w:space="0" w:color="auto"/>
        <w:right w:val="none" w:sz="0" w:space="0" w:color="auto"/>
      </w:divBdr>
    </w:div>
    <w:div w:id="538861640">
      <w:bodyDiv w:val="1"/>
      <w:marLeft w:val="0"/>
      <w:marRight w:val="0"/>
      <w:marTop w:val="0"/>
      <w:marBottom w:val="0"/>
      <w:divBdr>
        <w:top w:val="none" w:sz="0" w:space="0" w:color="auto"/>
        <w:left w:val="none" w:sz="0" w:space="0" w:color="auto"/>
        <w:bottom w:val="none" w:sz="0" w:space="0" w:color="auto"/>
        <w:right w:val="none" w:sz="0" w:space="0" w:color="auto"/>
      </w:divBdr>
      <w:divsChild>
        <w:div w:id="1645701852">
          <w:marLeft w:val="0"/>
          <w:marRight w:val="0"/>
          <w:marTop w:val="0"/>
          <w:marBottom w:val="0"/>
          <w:divBdr>
            <w:top w:val="none" w:sz="0" w:space="0" w:color="auto"/>
            <w:left w:val="none" w:sz="0" w:space="0" w:color="auto"/>
            <w:bottom w:val="none" w:sz="0" w:space="0" w:color="auto"/>
            <w:right w:val="none" w:sz="0" w:space="0" w:color="auto"/>
          </w:divBdr>
          <w:divsChild>
            <w:div w:id="8209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17862">
      <w:bodyDiv w:val="1"/>
      <w:marLeft w:val="0"/>
      <w:marRight w:val="0"/>
      <w:marTop w:val="0"/>
      <w:marBottom w:val="0"/>
      <w:divBdr>
        <w:top w:val="none" w:sz="0" w:space="0" w:color="auto"/>
        <w:left w:val="none" w:sz="0" w:space="0" w:color="auto"/>
        <w:bottom w:val="none" w:sz="0" w:space="0" w:color="auto"/>
        <w:right w:val="none" w:sz="0" w:space="0" w:color="auto"/>
      </w:divBdr>
    </w:div>
    <w:div w:id="650642262">
      <w:bodyDiv w:val="1"/>
      <w:marLeft w:val="0"/>
      <w:marRight w:val="0"/>
      <w:marTop w:val="0"/>
      <w:marBottom w:val="0"/>
      <w:divBdr>
        <w:top w:val="none" w:sz="0" w:space="0" w:color="auto"/>
        <w:left w:val="none" w:sz="0" w:space="0" w:color="auto"/>
        <w:bottom w:val="none" w:sz="0" w:space="0" w:color="auto"/>
        <w:right w:val="none" w:sz="0" w:space="0" w:color="auto"/>
      </w:divBdr>
    </w:div>
    <w:div w:id="701055670">
      <w:bodyDiv w:val="1"/>
      <w:marLeft w:val="0"/>
      <w:marRight w:val="0"/>
      <w:marTop w:val="0"/>
      <w:marBottom w:val="0"/>
      <w:divBdr>
        <w:top w:val="none" w:sz="0" w:space="0" w:color="auto"/>
        <w:left w:val="none" w:sz="0" w:space="0" w:color="auto"/>
        <w:bottom w:val="none" w:sz="0" w:space="0" w:color="auto"/>
        <w:right w:val="none" w:sz="0" w:space="0" w:color="auto"/>
      </w:divBdr>
      <w:divsChild>
        <w:div w:id="1798134558">
          <w:marLeft w:val="0"/>
          <w:marRight w:val="0"/>
          <w:marTop w:val="0"/>
          <w:marBottom w:val="0"/>
          <w:divBdr>
            <w:top w:val="none" w:sz="0" w:space="0" w:color="auto"/>
            <w:left w:val="none" w:sz="0" w:space="0" w:color="auto"/>
            <w:bottom w:val="none" w:sz="0" w:space="0" w:color="auto"/>
            <w:right w:val="none" w:sz="0" w:space="0" w:color="auto"/>
          </w:divBdr>
          <w:divsChild>
            <w:div w:id="17815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1449">
      <w:bodyDiv w:val="1"/>
      <w:marLeft w:val="0"/>
      <w:marRight w:val="0"/>
      <w:marTop w:val="0"/>
      <w:marBottom w:val="0"/>
      <w:divBdr>
        <w:top w:val="none" w:sz="0" w:space="0" w:color="auto"/>
        <w:left w:val="none" w:sz="0" w:space="0" w:color="auto"/>
        <w:bottom w:val="none" w:sz="0" w:space="0" w:color="auto"/>
        <w:right w:val="none" w:sz="0" w:space="0" w:color="auto"/>
      </w:divBdr>
    </w:div>
    <w:div w:id="940062753">
      <w:bodyDiv w:val="1"/>
      <w:marLeft w:val="0"/>
      <w:marRight w:val="0"/>
      <w:marTop w:val="0"/>
      <w:marBottom w:val="0"/>
      <w:divBdr>
        <w:top w:val="none" w:sz="0" w:space="0" w:color="auto"/>
        <w:left w:val="none" w:sz="0" w:space="0" w:color="auto"/>
        <w:bottom w:val="none" w:sz="0" w:space="0" w:color="auto"/>
        <w:right w:val="none" w:sz="0" w:space="0" w:color="auto"/>
      </w:divBdr>
      <w:divsChild>
        <w:div w:id="1198473892">
          <w:marLeft w:val="0"/>
          <w:marRight w:val="0"/>
          <w:marTop w:val="0"/>
          <w:marBottom w:val="0"/>
          <w:divBdr>
            <w:top w:val="none" w:sz="0" w:space="0" w:color="auto"/>
            <w:left w:val="none" w:sz="0" w:space="0" w:color="auto"/>
            <w:bottom w:val="none" w:sz="0" w:space="0" w:color="auto"/>
            <w:right w:val="none" w:sz="0" w:space="0" w:color="auto"/>
          </w:divBdr>
          <w:divsChild>
            <w:div w:id="3639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6983">
      <w:bodyDiv w:val="1"/>
      <w:marLeft w:val="0"/>
      <w:marRight w:val="0"/>
      <w:marTop w:val="0"/>
      <w:marBottom w:val="0"/>
      <w:divBdr>
        <w:top w:val="none" w:sz="0" w:space="0" w:color="auto"/>
        <w:left w:val="none" w:sz="0" w:space="0" w:color="auto"/>
        <w:bottom w:val="none" w:sz="0" w:space="0" w:color="auto"/>
        <w:right w:val="none" w:sz="0" w:space="0" w:color="auto"/>
      </w:divBdr>
      <w:divsChild>
        <w:div w:id="1986659970">
          <w:marLeft w:val="0"/>
          <w:marRight w:val="0"/>
          <w:marTop w:val="0"/>
          <w:marBottom w:val="0"/>
          <w:divBdr>
            <w:top w:val="none" w:sz="0" w:space="0" w:color="auto"/>
            <w:left w:val="none" w:sz="0" w:space="0" w:color="auto"/>
            <w:bottom w:val="none" w:sz="0" w:space="0" w:color="auto"/>
            <w:right w:val="none" w:sz="0" w:space="0" w:color="auto"/>
          </w:divBdr>
          <w:divsChild>
            <w:div w:id="16424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01976">
      <w:bodyDiv w:val="1"/>
      <w:marLeft w:val="0"/>
      <w:marRight w:val="0"/>
      <w:marTop w:val="0"/>
      <w:marBottom w:val="0"/>
      <w:divBdr>
        <w:top w:val="none" w:sz="0" w:space="0" w:color="auto"/>
        <w:left w:val="none" w:sz="0" w:space="0" w:color="auto"/>
        <w:bottom w:val="none" w:sz="0" w:space="0" w:color="auto"/>
        <w:right w:val="none" w:sz="0" w:space="0" w:color="auto"/>
      </w:divBdr>
      <w:divsChild>
        <w:div w:id="246427673">
          <w:marLeft w:val="0"/>
          <w:marRight w:val="0"/>
          <w:marTop w:val="0"/>
          <w:marBottom w:val="0"/>
          <w:divBdr>
            <w:top w:val="none" w:sz="0" w:space="0" w:color="auto"/>
            <w:left w:val="none" w:sz="0" w:space="0" w:color="auto"/>
            <w:bottom w:val="none" w:sz="0" w:space="0" w:color="auto"/>
            <w:right w:val="none" w:sz="0" w:space="0" w:color="auto"/>
          </w:divBdr>
          <w:divsChild>
            <w:div w:id="20639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4451">
      <w:bodyDiv w:val="1"/>
      <w:marLeft w:val="0"/>
      <w:marRight w:val="0"/>
      <w:marTop w:val="0"/>
      <w:marBottom w:val="0"/>
      <w:divBdr>
        <w:top w:val="none" w:sz="0" w:space="0" w:color="auto"/>
        <w:left w:val="none" w:sz="0" w:space="0" w:color="auto"/>
        <w:bottom w:val="none" w:sz="0" w:space="0" w:color="auto"/>
        <w:right w:val="none" w:sz="0" w:space="0" w:color="auto"/>
      </w:divBdr>
    </w:div>
    <w:div w:id="1201086423">
      <w:bodyDiv w:val="1"/>
      <w:marLeft w:val="0"/>
      <w:marRight w:val="0"/>
      <w:marTop w:val="0"/>
      <w:marBottom w:val="0"/>
      <w:divBdr>
        <w:top w:val="none" w:sz="0" w:space="0" w:color="auto"/>
        <w:left w:val="none" w:sz="0" w:space="0" w:color="auto"/>
        <w:bottom w:val="none" w:sz="0" w:space="0" w:color="auto"/>
        <w:right w:val="none" w:sz="0" w:space="0" w:color="auto"/>
      </w:divBdr>
      <w:divsChild>
        <w:div w:id="1933737451">
          <w:marLeft w:val="0"/>
          <w:marRight w:val="0"/>
          <w:marTop w:val="0"/>
          <w:marBottom w:val="0"/>
          <w:divBdr>
            <w:top w:val="none" w:sz="0" w:space="0" w:color="auto"/>
            <w:left w:val="none" w:sz="0" w:space="0" w:color="auto"/>
            <w:bottom w:val="none" w:sz="0" w:space="0" w:color="auto"/>
            <w:right w:val="none" w:sz="0" w:space="0" w:color="auto"/>
          </w:divBdr>
          <w:divsChild>
            <w:div w:id="6100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38919">
      <w:bodyDiv w:val="1"/>
      <w:marLeft w:val="0"/>
      <w:marRight w:val="0"/>
      <w:marTop w:val="0"/>
      <w:marBottom w:val="0"/>
      <w:divBdr>
        <w:top w:val="none" w:sz="0" w:space="0" w:color="auto"/>
        <w:left w:val="none" w:sz="0" w:space="0" w:color="auto"/>
        <w:bottom w:val="none" w:sz="0" w:space="0" w:color="auto"/>
        <w:right w:val="none" w:sz="0" w:space="0" w:color="auto"/>
      </w:divBdr>
    </w:div>
    <w:div w:id="1673726345">
      <w:bodyDiv w:val="1"/>
      <w:marLeft w:val="0"/>
      <w:marRight w:val="0"/>
      <w:marTop w:val="0"/>
      <w:marBottom w:val="0"/>
      <w:divBdr>
        <w:top w:val="none" w:sz="0" w:space="0" w:color="auto"/>
        <w:left w:val="none" w:sz="0" w:space="0" w:color="auto"/>
        <w:bottom w:val="none" w:sz="0" w:space="0" w:color="auto"/>
        <w:right w:val="none" w:sz="0" w:space="0" w:color="auto"/>
      </w:divBdr>
      <w:divsChild>
        <w:div w:id="1469933488">
          <w:marLeft w:val="0"/>
          <w:marRight w:val="0"/>
          <w:marTop w:val="0"/>
          <w:marBottom w:val="0"/>
          <w:divBdr>
            <w:top w:val="none" w:sz="0" w:space="0" w:color="auto"/>
            <w:left w:val="none" w:sz="0" w:space="0" w:color="auto"/>
            <w:bottom w:val="none" w:sz="0" w:space="0" w:color="auto"/>
            <w:right w:val="none" w:sz="0" w:space="0" w:color="auto"/>
          </w:divBdr>
          <w:divsChild>
            <w:div w:id="160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8072">
      <w:bodyDiv w:val="1"/>
      <w:marLeft w:val="0"/>
      <w:marRight w:val="0"/>
      <w:marTop w:val="0"/>
      <w:marBottom w:val="0"/>
      <w:divBdr>
        <w:top w:val="none" w:sz="0" w:space="0" w:color="auto"/>
        <w:left w:val="none" w:sz="0" w:space="0" w:color="auto"/>
        <w:bottom w:val="none" w:sz="0" w:space="0" w:color="auto"/>
        <w:right w:val="none" w:sz="0" w:space="0" w:color="auto"/>
      </w:divBdr>
      <w:divsChild>
        <w:div w:id="1374692354">
          <w:marLeft w:val="0"/>
          <w:marRight w:val="0"/>
          <w:marTop w:val="0"/>
          <w:marBottom w:val="0"/>
          <w:divBdr>
            <w:top w:val="none" w:sz="0" w:space="0" w:color="auto"/>
            <w:left w:val="none" w:sz="0" w:space="0" w:color="auto"/>
            <w:bottom w:val="none" w:sz="0" w:space="0" w:color="auto"/>
            <w:right w:val="none" w:sz="0" w:space="0" w:color="auto"/>
          </w:divBdr>
          <w:divsChild>
            <w:div w:id="19164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6786">
      <w:bodyDiv w:val="1"/>
      <w:marLeft w:val="0"/>
      <w:marRight w:val="0"/>
      <w:marTop w:val="0"/>
      <w:marBottom w:val="0"/>
      <w:divBdr>
        <w:top w:val="none" w:sz="0" w:space="0" w:color="auto"/>
        <w:left w:val="none" w:sz="0" w:space="0" w:color="auto"/>
        <w:bottom w:val="none" w:sz="0" w:space="0" w:color="auto"/>
        <w:right w:val="none" w:sz="0" w:space="0" w:color="auto"/>
      </w:divBdr>
      <w:divsChild>
        <w:div w:id="1334182445">
          <w:marLeft w:val="0"/>
          <w:marRight w:val="0"/>
          <w:marTop w:val="0"/>
          <w:marBottom w:val="0"/>
          <w:divBdr>
            <w:top w:val="none" w:sz="0" w:space="0" w:color="auto"/>
            <w:left w:val="none" w:sz="0" w:space="0" w:color="auto"/>
            <w:bottom w:val="none" w:sz="0" w:space="0" w:color="auto"/>
            <w:right w:val="none" w:sz="0" w:space="0" w:color="auto"/>
          </w:divBdr>
          <w:divsChild>
            <w:div w:id="14298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68965">
      <w:bodyDiv w:val="1"/>
      <w:marLeft w:val="0"/>
      <w:marRight w:val="0"/>
      <w:marTop w:val="0"/>
      <w:marBottom w:val="0"/>
      <w:divBdr>
        <w:top w:val="none" w:sz="0" w:space="0" w:color="auto"/>
        <w:left w:val="none" w:sz="0" w:space="0" w:color="auto"/>
        <w:bottom w:val="none" w:sz="0" w:space="0" w:color="auto"/>
        <w:right w:val="none" w:sz="0" w:space="0" w:color="auto"/>
      </w:divBdr>
    </w:div>
    <w:div w:id="2054571592">
      <w:bodyDiv w:val="1"/>
      <w:marLeft w:val="0"/>
      <w:marRight w:val="0"/>
      <w:marTop w:val="0"/>
      <w:marBottom w:val="0"/>
      <w:divBdr>
        <w:top w:val="none" w:sz="0" w:space="0" w:color="auto"/>
        <w:left w:val="none" w:sz="0" w:space="0" w:color="auto"/>
        <w:bottom w:val="none" w:sz="0" w:space="0" w:color="auto"/>
        <w:right w:val="none" w:sz="0" w:space="0" w:color="auto"/>
      </w:divBdr>
    </w:div>
    <w:div w:id="2098556642">
      <w:bodyDiv w:val="1"/>
      <w:marLeft w:val="0"/>
      <w:marRight w:val="0"/>
      <w:marTop w:val="0"/>
      <w:marBottom w:val="0"/>
      <w:divBdr>
        <w:top w:val="none" w:sz="0" w:space="0" w:color="auto"/>
        <w:left w:val="none" w:sz="0" w:space="0" w:color="auto"/>
        <w:bottom w:val="none" w:sz="0" w:space="0" w:color="auto"/>
        <w:right w:val="none" w:sz="0" w:space="0" w:color="auto"/>
      </w:divBdr>
      <w:divsChild>
        <w:div w:id="2089421738">
          <w:marLeft w:val="0"/>
          <w:marRight w:val="0"/>
          <w:marTop w:val="0"/>
          <w:marBottom w:val="0"/>
          <w:divBdr>
            <w:top w:val="none" w:sz="0" w:space="0" w:color="auto"/>
            <w:left w:val="none" w:sz="0" w:space="0" w:color="auto"/>
            <w:bottom w:val="none" w:sz="0" w:space="0" w:color="auto"/>
            <w:right w:val="none" w:sz="0" w:space="0" w:color="auto"/>
          </w:divBdr>
          <w:divsChild>
            <w:div w:id="19176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TaxCatchAll xmlns="e08f44b2-7c34-4b17-b577-bb772d2280b8" xsi:nil="true"/>
    <SharedWithUsers xmlns="e08f44b2-7c34-4b17-b577-bb772d2280b8">
      <UserInfo>
        <DisplayName/>
        <AccountId xsi:nil="true"/>
        <AccountType/>
      </UserInfo>
    </SharedWithUsers>
    <imagen xmlns="0ef6e1e8-23ac-4db9-86c4-0e3601708a35" xsi:nil="true"/>
  </documentManagement>
</p:properties>
</file>

<file path=customXml/itemProps1.xml><?xml version="1.0" encoding="utf-8"?>
<ds:datastoreItem xmlns:ds="http://schemas.openxmlformats.org/officeDocument/2006/customXml" ds:itemID="{FDFA9394-6040-4421-92DC-36A0186C8276}">
  <ds:schemaRefs>
    <ds:schemaRef ds:uri="http://schemas.microsoft.com/sharepoint/v3/contenttype/forms"/>
  </ds:schemaRefs>
</ds:datastoreItem>
</file>

<file path=customXml/itemProps2.xml><?xml version="1.0" encoding="utf-8"?>
<ds:datastoreItem xmlns:ds="http://schemas.openxmlformats.org/officeDocument/2006/customXml" ds:itemID="{C426128A-2406-4AFB-B700-4322F6628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2AB04-6644-44B7-B061-B7D2C2D6277C}">
  <ds:schemaRefs>
    <ds:schemaRef ds:uri="http://schemas.openxmlformats.org/officeDocument/2006/bibliography"/>
  </ds:schemaRefs>
</ds:datastoreItem>
</file>

<file path=customXml/itemProps4.xml><?xml version="1.0" encoding="utf-8"?>
<ds:datastoreItem xmlns:ds="http://schemas.openxmlformats.org/officeDocument/2006/customXml" ds:itemID="{2CAD910C-6AB7-48F1-ABCD-0F3CDCB99972}">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497</Words>
  <Characters>2738</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Yulieth Diaz Gonzalez</dc:creator>
  <cp:keywords>Plantilla procedimiento - SIG</cp:keywords>
  <dc:description/>
  <cp:lastModifiedBy>Laura Valentina Bernal Avila</cp:lastModifiedBy>
  <cp:revision>22</cp:revision>
  <dcterms:created xsi:type="dcterms:W3CDTF">2026-03-06T14:55:00Z</dcterms:created>
  <dcterms:modified xsi:type="dcterms:W3CDTF">2026-05-25T15:23:00Z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_dlc_DocIdItemGuid">
    <vt:lpwstr>c9942c27-d5a5-408e-be91-03f017b7a49c</vt:lpwstr>
  </property>
  <property fmtid="{D5CDD505-2E9C-101B-9397-08002B2CF9AE}" pid="4" name="Order">
    <vt:r8>2519400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