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E42870" w:rsidRDefault="00245200" w:rsidP="005405A4">
      <w:pPr>
        <w:rPr>
          <w:rFonts w:ascii="Arial" w:hAnsi="Arial" w:cs="Arial"/>
          <w:color w:val="808080" w:themeColor="background1" w:themeShade="80"/>
          <w:sz w:val="24"/>
          <w:szCs w:val="24"/>
          <w:shd w:val="clear" w:color="auto" w:fill="FFFFFF"/>
        </w:rPr>
      </w:pP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2"/>
          <w:szCs w:val="22"/>
          <w:shd w:val="clear" w:color="auto" w:fill="FFFFFF"/>
        </w:rPr>
        <w:t>OBJETIVO</w:t>
      </w:r>
    </w:p>
    <w:p w14:paraId="0649F4C5" w14:textId="75B7560F" w:rsidR="00F82D24" w:rsidRDefault="70DD9BB4" w:rsidP="1343FE16">
      <w:pPr>
        <w:rPr>
          <w:rFonts w:ascii="Arial" w:hAnsi="Arial" w:cs="Arial"/>
          <w:color w:val="000000" w:themeColor="text1"/>
          <w:shd w:val="clear" w:color="auto" w:fill="FFFFFF"/>
        </w:rPr>
      </w:pPr>
      <w:r w:rsidRPr="1B8821BC">
        <w:rPr>
          <w:rFonts w:ascii="Arial" w:eastAsia="Arial" w:hAnsi="Arial" w:cs="Arial"/>
        </w:rPr>
        <w:t xml:space="preserve">Mantener un ambiente razonablemente seguro, alineado a la misión y visión de la Superintendencia Nacional de Salud, que permita proteger los activos de información de la entidad, así como el uso adecuado de los recursos y gestión del riesgo, con el fin de dar cumplimiento a los principios de disponibilidad, integridad y confidencialidad de la información y el aseguramiento de la continuidad del negocio, enmarcados en los lineamientos del Modelo de Seguridad y Privacidad de la Información MSPI y el estándar ISO 27001:2022. </w:t>
      </w: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2"/>
          <w:szCs w:val="22"/>
          <w:shd w:val="clear" w:color="auto" w:fill="FFFFFF"/>
        </w:rPr>
        <w:t>ALCANCE </w:t>
      </w:r>
    </w:p>
    <w:p w14:paraId="19EE6C77" w14:textId="7C3DA351" w:rsidR="35DF5F81" w:rsidRDefault="35DF5F81" w:rsidP="7D0B3F96">
      <w:r w:rsidRPr="1343FE16">
        <w:rPr>
          <w:rFonts w:ascii="Arial" w:eastAsia="Arial" w:hAnsi="Arial" w:cs="Arial"/>
        </w:rPr>
        <w:t>Inicia con la identificación y valoración de los activos de información que soportan los procesos institucionales, así como la detección de incidentes o alertas que puedan comprometer la confidencialidad, integridad y disponibilidad de la información a todas las partes interesadas de la Entidad; Continua con la definición e implementación de controles, políticas y medidas de protección de la información y finaliza con el cierre y monitoreo de incidentes, acciones tomadas, actualización de controles, entre otros para garantizar la protección de la información institucional y el cumplimiento de las normas de seguridad y privacidad de la información.</w:t>
      </w: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2"/>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2"/>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2"/>
          <w:szCs w:val="24"/>
          <w:shd w:val="clear" w:color="auto" w:fill="FFFFFF"/>
        </w:rPr>
        <w:t xml:space="preserve">LINEAMIENTOS GENERALES </w:t>
      </w:r>
      <w:r>
        <w:rPr>
          <w:rFonts w:ascii="Arial" w:hAnsi="Arial" w:cs="Arial"/>
          <w:b/>
          <w:bCs/>
          <w:sz w:val="22"/>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hd w:val="clear" w:color="auto" w:fill="FFFFFF"/>
        </w:rPr>
        <w:t>Sin definir</w:t>
      </w:r>
    </w:p>
    <w:p w14:paraId="144D7877" w14:textId="2A0AAC42" w:rsidR="0524E72A" w:rsidRDefault="0524E72A" w:rsidP="0524E72A">
      <w:pPr>
        <w:spacing w:after="0" w:line="360" w:lineRule="auto"/>
        <w:rPr>
          <w:rFonts w:ascii="Arial" w:hAnsi="Arial" w:cs="Arial"/>
          <w:color w:val="000000" w:themeColor="text1"/>
        </w:rPr>
      </w:pPr>
    </w:p>
    <w:p w14:paraId="26A10E1F" w14:textId="1D54A292" w:rsidR="37D5C0D3" w:rsidRDefault="37D5C0D3" w:rsidP="0524E72A">
      <w:pPr>
        <w:spacing w:after="0"/>
        <w:rPr>
          <w:rFonts w:ascii="Arial" w:eastAsia="Arial" w:hAnsi="Arial" w:cs="Arial"/>
          <w:color w:val="2F5496" w:themeColor="accent1" w:themeShade="BF"/>
          <w:sz w:val="20"/>
          <w:szCs w:val="20"/>
        </w:rPr>
      </w:pPr>
      <w:r w:rsidRPr="0524E72A">
        <w:rPr>
          <w:rFonts w:ascii="Arial" w:eastAsia="Arial" w:hAnsi="Arial" w:cs="Arial"/>
          <w:b/>
          <w:bCs/>
          <w:color w:val="2F5496" w:themeColor="accent1" w:themeShade="BF"/>
        </w:rPr>
        <w:lastRenderedPageBreak/>
        <w:t xml:space="preserve">RESPONSABLE DEL PROCEDIMIENTO </w:t>
      </w:r>
      <w:r w:rsidRPr="0524E72A">
        <w:rPr>
          <w:rFonts w:ascii="Arial" w:eastAsia="Arial" w:hAnsi="Arial" w:cs="Arial"/>
          <w:color w:val="2F5496" w:themeColor="accent1" w:themeShade="BF"/>
        </w:rPr>
        <w:t xml:space="preserve"> </w:t>
      </w:r>
    </w:p>
    <w:p w14:paraId="7D002D70" w14:textId="053BB9FB" w:rsidR="37D5C0D3" w:rsidRDefault="37D5C0D3" w:rsidP="0524E72A">
      <w:pPr>
        <w:pStyle w:val="Ttulo1"/>
        <w:spacing w:before="0" w:after="160" w:line="276" w:lineRule="auto"/>
        <w:rPr>
          <w:rFonts w:ascii="Arial" w:eastAsia="Arial" w:hAnsi="Arial" w:cs="Arial"/>
          <w:color w:val="000000" w:themeColor="text1"/>
          <w:sz w:val="20"/>
          <w:szCs w:val="20"/>
        </w:rPr>
      </w:pPr>
      <w:r w:rsidRPr="0524E72A">
        <w:rPr>
          <w:rFonts w:ascii="Arial" w:eastAsia="Arial" w:hAnsi="Arial" w:cs="Arial"/>
          <w:color w:val="000000" w:themeColor="text1"/>
          <w:sz w:val="22"/>
          <w:szCs w:val="22"/>
        </w:rPr>
        <w:t>Dirección de innovación y desarrollo - Subdirección de Tecnologías de la Información</w:t>
      </w: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2"/>
          <w:szCs w:val="24"/>
          <w:shd w:val="clear" w:color="auto" w:fill="FFFFFF"/>
        </w:rPr>
        <w:t>DIAGRAMA DE FLUJO</w:t>
      </w:r>
    </w:p>
    <w:p w14:paraId="1F507458" w14:textId="262FB43C" w:rsidR="008A40F0" w:rsidRPr="008A40F0" w:rsidRDefault="008A40F0" w:rsidP="0524E72A">
      <w:r w:rsidRPr="008A40F0">
        <w:rPr>
          <w:rFonts w:ascii="Arial" w:hAnsi="Arial" w:cs="Arial"/>
          <w:shd w:val="clear" w:color="auto" w:fill="FFFFFF"/>
        </w:rPr>
        <w:t xml:space="preserve">Se encuentra </w:t>
      </w:r>
      <w:r w:rsidR="2A78A897" w:rsidRPr="0524E72A">
        <w:rPr>
          <w:rFonts w:ascii="Arial" w:hAnsi="Arial" w:cs="Arial"/>
        </w:rPr>
        <w:t>anexo</w:t>
      </w:r>
    </w:p>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2"/>
          <w:szCs w:val="24"/>
          <w:shd w:val="clear" w:color="auto" w:fill="FFFFFF"/>
        </w:rPr>
        <w:t>DESARROLLO -</w:t>
      </w:r>
      <w:r w:rsidR="007E2E39">
        <w:rPr>
          <w:rFonts w:ascii="Arial" w:hAnsi="Arial" w:cs="Arial"/>
          <w:b/>
          <w:bCs/>
          <w:sz w:val="22"/>
          <w:szCs w:val="24"/>
          <w:shd w:val="clear" w:color="auto" w:fill="FFFFFF"/>
        </w:rPr>
        <w:t xml:space="preserve"> </w:t>
      </w:r>
      <w:r w:rsidRPr="00955475">
        <w:rPr>
          <w:rFonts w:ascii="Arial" w:hAnsi="Arial" w:cs="Arial"/>
          <w:b/>
          <w:bCs/>
          <w:sz w:val="22"/>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1343FE16">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EE220B" w14:paraId="24E9FCD6" w14:textId="77777777" w:rsidTr="1343FE16">
        <w:tc>
          <w:tcPr>
            <w:tcW w:w="426" w:type="dxa"/>
          </w:tcPr>
          <w:p w14:paraId="649841BE" w14:textId="77777777" w:rsidR="00EE220B" w:rsidRDefault="00EA6419">
            <w:r>
              <w:t>1</w:t>
            </w:r>
          </w:p>
        </w:tc>
        <w:tc>
          <w:tcPr>
            <w:tcW w:w="7370" w:type="dxa"/>
          </w:tcPr>
          <w:p w14:paraId="6DB93127" w14:textId="77777777" w:rsidR="00EE220B" w:rsidRDefault="00EA6419">
            <w:r>
              <w:rPr>
                <w:b/>
              </w:rPr>
              <w:t>Gestionar Seguridad y Privacidad de los Datos e Información</w:t>
            </w:r>
          </w:p>
        </w:tc>
        <w:tc>
          <w:tcPr>
            <w:tcW w:w="1984" w:type="dxa"/>
          </w:tcPr>
          <w:p w14:paraId="615D9BC7" w14:textId="496F92EC" w:rsidR="00EE220B" w:rsidRDefault="00EE220B"/>
        </w:tc>
        <w:tc>
          <w:tcPr>
            <w:tcW w:w="1701" w:type="dxa"/>
          </w:tcPr>
          <w:p w14:paraId="775BFED7" w14:textId="77777777" w:rsidR="00EE220B" w:rsidRDefault="00EA6419">
            <w:r>
              <w:t>Sin definir</w:t>
            </w:r>
          </w:p>
        </w:tc>
        <w:tc>
          <w:tcPr>
            <w:tcW w:w="2268" w:type="dxa"/>
          </w:tcPr>
          <w:p w14:paraId="3FBB1921" w14:textId="77777777" w:rsidR="00EE220B" w:rsidRDefault="00EA6419">
            <w:r>
              <w:t>Sin definir</w:t>
            </w:r>
          </w:p>
        </w:tc>
      </w:tr>
      <w:tr w:rsidR="00EE220B" w14:paraId="7129FF05" w14:textId="77777777" w:rsidTr="1343FE16">
        <w:tc>
          <w:tcPr>
            <w:tcW w:w="426" w:type="dxa"/>
          </w:tcPr>
          <w:p w14:paraId="18F999B5" w14:textId="77777777" w:rsidR="00EE220B" w:rsidRDefault="00EA6419">
            <w:r>
              <w:t>2</w:t>
            </w:r>
          </w:p>
        </w:tc>
        <w:tc>
          <w:tcPr>
            <w:tcW w:w="7370" w:type="dxa"/>
          </w:tcPr>
          <w:p w14:paraId="6ACD55B7" w14:textId="77777777" w:rsidR="00EE220B" w:rsidRDefault="00EA6419">
            <w:r>
              <w:rPr>
                <w:b/>
              </w:rPr>
              <w:t>Inicio</w:t>
            </w:r>
          </w:p>
        </w:tc>
        <w:tc>
          <w:tcPr>
            <w:tcW w:w="1984" w:type="dxa"/>
          </w:tcPr>
          <w:p w14:paraId="1F613763" w14:textId="0694625B" w:rsidR="00EE220B" w:rsidRDefault="00EE220B"/>
        </w:tc>
        <w:tc>
          <w:tcPr>
            <w:tcW w:w="1701" w:type="dxa"/>
          </w:tcPr>
          <w:p w14:paraId="47AC0E1D" w14:textId="77777777" w:rsidR="00EE220B" w:rsidRDefault="00EA6419">
            <w:r>
              <w:t>Sin definir</w:t>
            </w:r>
          </w:p>
        </w:tc>
        <w:tc>
          <w:tcPr>
            <w:tcW w:w="2268" w:type="dxa"/>
          </w:tcPr>
          <w:p w14:paraId="4312049F" w14:textId="77777777" w:rsidR="00EE220B" w:rsidRDefault="00EA6419">
            <w:r>
              <w:t>Sin definir</w:t>
            </w:r>
          </w:p>
        </w:tc>
      </w:tr>
      <w:tr w:rsidR="00EE220B" w14:paraId="6BABD554" w14:textId="77777777" w:rsidTr="1343FE16">
        <w:tc>
          <w:tcPr>
            <w:tcW w:w="426" w:type="dxa"/>
          </w:tcPr>
          <w:p w14:paraId="5FCD5EC4" w14:textId="77777777" w:rsidR="00EE220B" w:rsidRDefault="00EA6419">
            <w:r>
              <w:t>3</w:t>
            </w:r>
          </w:p>
        </w:tc>
        <w:tc>
          <w:tcPr>
            <w:tcW w:w="7370" w:type="dxa"/>
          </w:tcPr>
          <w:p w14:paraId="50FDB0F2" w14:textId="77777777" w:rsidR="00EE220B" w:rsidRDefault="00EA6419">
            <w:r>
              <w:rPr>
                <w:b/>
              </w:rPr>
              <w:t>Compuerta Exclusiva</w:t>
            </w:r>
          </w:p>
        </w:tc>
        <w:tc>
          <w:tcPr>
            <w:tcW w:w="1984" w:type="dxa"/>
          </w:tcPr>
          <w:p w14:paraId="6C56262F" w14:textId="18913758" w:rsidR="00EE220B" w:rsidRDefault="00EE220B"/>
        </w:tc>
        <w:tc>
          <w:tcPr>
            <w:tcW w:w="1701" w:type="dxa"/>
          </w:tcPr>
          <w:p w14:paraId="4E5A2800" w14:textId="77777777" w:rsidR="00EE220B" w:rsidRDefault="00EA6419">
            <w:r>
              <w:t>Sin definir</w:t>
            </w:r>
          </w:p>
        </w:tc>
        <w:tc>
          <w:tcPr>
            <w:tcW w:w="2268" w:type="dxa"/>
          </w:tcPr>
          <w:p w14:paraId="4E479341" w14:textId="77777777" w:rsidR="00EE220B" w:rsidRDefault="00EA6419">
            <w:r>
              <w:t>Sin definir</w:t>
            </w:r>
          </w:p>
        </w:tc>
      </w:tr>
      <w:tr w:rsidR="00EE220B" w14:paraId="4DA9E03F" w14:textId="77777777" w:rsidTr="1343FE16">
        <w:tc>
          <w:tcPr>
            <w:tcW w:w="426" w:type="dxa"/>
          </w:tcPr>
          <w:p w14:paraId="2598DEE6" w14:textId="77777777" w:rsidR="00EE220B" w:rsidRDefault="00EA6419">
            <w:r>
              <w:t>4</w:t>
            </w:r>
          </w:p>
        </w:tc>
        <w:tc>
          <w:tcPr>
            <w:tcW w:w="7370" w:type="dxa"/>
          </w:tcPr>
          <w:p w14:paraId="788D8E87" w14:textId="7A62E14F" w:rsidR="00EE220B" w:rsidRDefault="1343FE16">
            <w:r w:rsidRPr="1343FE16">
              <w:rPr>
                <w:b/>
                <w:bCs/>
              </w:rPr>
              <w:t>Definir lineamientos</w:t>
            </w:r>
            <w:r w:rsidR="00EA6419">
              <w:br/>
            </w:r>
            <w:r>
              <w:t xml:space="preserve">Los colaboradores asignados de Subdirección de tecnologías de la Información, Grupo de Gestión Documental de la Dirección Administrativa, Dirección Jurídica y Oficina Asesora de Planeación, revisan la normativa vigente y se </w:t>
            </w:r>
            <w:r w:rsidR="24539998">
              <w:t>reúnen</w:t>
            </w:r>
            <w:r>
              <w:t xml:space="preserve"> en una mesa de trabajo para definir lineamientos (identificación, clasificación, etiquetado, tiempos de conservación, entre otros.) para la gestión de activos de información de la vigencia.</w:t>
            </w:r>
          </w:p>
        </w:tc>
        <w:tc>
          <w:tcPr>
            <w:tcW w:w="1984" w:type="dxa"/>
          </w:tcPr>
          <w:p w14:paraId="513109AB" w14:textId="56512579" w:rsidR="00EE220B" w:rsidRDefault="4DAB2B62">
            <w:r>
              <w:t>Profesional asignado de la subdirección de Tecnologías de la Información</w:t>
            </w:r>
          </w:p>
        </w:tc>
        <w:tc>
          <w:tcPr>
            <w:tcW w:w="1701" w:type="dxa"/>
          </w:tcPr>
          <w:p w14:paraId="60A037C5" w14:textId="77777777" w:rsidR="00EE220B" w:rsidRDefault="00EA6419">
            <w:r>
              <w:t>Sin definir</w:t>
            </w:r>
          </w:p>
        </w:tc>
        <w:tc>
          <w:tcPr>
            <w:tcW w:w="2268" w:type="dxa"/>
          </w:tcPr>
          <w:p w14:paraId="43CA718E" w14:textId="77777777" w:rsidR="00EE220B" w:rsidRDefault="00EA6419">
            <w:r>
              <w:t>Sin definir</w:t>
            </w:r>
          </w:p>
        </w:tc>
      </w:tr>
      <w:tr w:rsidR="00EE220B" w14:paraId="7D8110D1" w14:textId="77777777" w:rsidTr="1343FE16">
        <w:tc>
          <w:tcPr>
            <w:tcW w:w="426" w:type="dxa"/>
          </w:tcPr>
          <w:p w14:paraId="78941E47" w14:textId="77777777" w:rsidR="00EE220B" w:rsidRDefault="00EA6419">
            <w:r>
              <w:t>5</w:t>
            </w:r>
          </w:p>
        </w:tc>
        <w:tc>
          <w:tcPr>
            <w:tcW w:w="7370" w:type="dxa"/>
          </w:tcPr>
          <w:p w14:paraId="16383E6C" w14:textId="77777777" w:rsidR="00EE220B" w:rsidRDefault="00EA6419">
            <w:r>
              <w:rPr>
                <w:b/>
              </w:rPr>
              <w:t>Socializar metodologías de activos de información</w:t>
            </w:r>
            <w:r>
              <w:br/>
              <w:t>El profesional asignado del área de la Subdirección de Tecnologías de la Información (STI), socializa la metología de activos de información encontrada en el Manual para la clasificación y etiquetado de los activos de información - DIMN18 así como la gestión de Registro Nacional de Bases de Datos personales y la ley de protección de datos a los gestores asignados por los lideres de los procesos de la entidad para tal fin.</w:t>
            </w:r>
          </w:p>
        </w:tc>
        <w:tc>
          <w:tcPr>
            <w:tcW w:w="1984" w:type="dxa"/>
          </w:tcPr>
          <w:p w14:paraId="612FC8DD" w14:textId="56512579" w:rsidR="00EE220B" w:rsidRDefault="47A4B375">
            <w:r>
              <w:t>Profesional asignado de la subdirección de Tecnologías de la Información</w:t>
            </w:r>
          </w:p>
          <w:p w14:paraId="235E2E60" w14:textId="5513CC70" w:rsidR="00EE220B" w:rsidRDefault="00EE220B"/>
        </w:tc>
        <w:tc>
          <w:tcPr>
            <w:tcW w:w="1701" w:type="dxa"/>
          </w:tcPr>
          <w:p w14:paraId="4C6AAD3E" w14:textId="77777777" w:rsidR="00EE220B" w:rsidRDefault="00EA6419">
            <w:r>
              <w:t>Sin definir</w:t>
            </w:r>
          </w:p>
        </w:tc>
        <w:tc>
          <w:tcPr>
            <w:tcW w:w="2268" w:type="dxa"/>
          </w:tcPr>
          <w:p w14:paraId="42CB9946" w14:textId="49B80B87" w:rsidR="00EE220B" w:rsidRDefault="041FB10A">
            <w:r>
              <w:t>DIMN18 Manual para la clasificación y etiquetado de los activos de información</w:t>
            </w:r>
          </w:p>
          <w:p w14:paraId="5EDFB788" w14:textId="2756773F" w:rsidR="00EE220B" w:rsidRDefault="00EE220B"/>
          <w:p w14:paraId="16820681" w14:textId="6551067E" w:rsidR="00EE220B" w:rsidRDefault="041FB10A">
            <w:r>
              <w:t xml:space="preserve">Herramienta recolección de información Registro </w:t>
            </w:r>
            <w:r>
              <w:lastRenderedPageBreak/>
              <w:t xml:space="preserve">Nacional de Base de datos -RBND  </w:t>
            </w:r>
          </w:p>
        </w:tc>
      </w:tr>
      <w:tr w:rsidR="00EE220B" w14:paraId="30FEC196" w14:textId="77777777" w:rsidTr="1343FE16">
        <w:tc>
          <w:tcPr>
            <w:tcW w:w="426" w:type="dxa"/>
          </w:tcPr>
          <w:p w14:paraId="29B4EA11" w14:textId="77777777" w:rsidR="00EE220B" w:rsidRDefault="00EA6419">
            <w:r>
              <w:lastRenderedPageBreak/>
              <w:t>6</w:t>
            </w:r>
          </w:p>
        </w:tc>
        <w:tc>
          <w:tcPr>
            <w:tcW w:w="7370" w:type="dxa"/>
          </w:tcPr>
          <w:p w14:paraId="6C53DF07" w14:textId="1687EF9F" w:rsidR="00EE220B" w:rsidRDefault="1343FE16">
            <w:r w:rsidRPr="1343FE16">
              <w:rPr>
                <w:b/>
                <w:bCs/>
              </w:rPr>
              <w:t>Validar activos de Información</w:t>
            </w:r>
            <w:r w:rsidR="00EA6419">
              <w:br/>
            </w:r>
            <w:r>
              <w:t xml:space="preserve">El gestor asignado de la dependencia valida los activos de información del proceso </w:t>
            </w:r>
            <w:r w:rsidR="2A298E40">
              <w:t>de acuerdo con</w:t>
            </w:r>
            <w:r>
              <w:t xml:space="preserve"> los lineamientos dados en la socialización y lo establecido en el manual para la clasificación y etiquetado de los activos de información (DIMN18).</w:t>
            </w:r>
          </w:p>
        </w:tc>
        <w:tc>
          <w:tcPr>
            <w:tcW w:w="1984" w:type="dxa"/>
          </w:tcPr>
          <w:p w14:paraId="0AD9F8E8" w14:textId="56512579" w:rsidR="00EE220B" w:rsidRDefault="79897403">
            <w:r>
              <w:t>Profesional asignado de la subdirección de Tecnologías de la Información</w:t>
            </w:r>
          </w:p>
          <w:p w14:paraId="5FC8962D" w14:textId="40A38567" w:rsidR="00EE220B" w:rsidRDefault="00EE220B"/>
        </w:tc>
        <w:tc>
          <w:tcPr>
            <w:tcW w:w="1701" w:type="dxa"/>
          </w:tcPr>
          <w:p w14:paraId="44D421FC" w14:textId="77777777" w:rsidR="00EE220B" w:rsidRDefault="00EA6419">
            <w:r>
              <w:t>Trimestral.</w:t>
            </w:r>
          </w:p>
        </w:tc>
        <w:tc>
          <w:tcPr>
            <w:tcW w:w="2268" w:type="dxa"/>
          </w:tcPr>
          <w:p w14:paraId="1A001E2E" w14:textId="3E1A4B2A" w:rsidR="00EE220B" w:rsidRDefault="1343FE16">
            <w:r>
              <w:t>El gestor asignado reporta via correo electrónico al lider del proceso una relación de los activos de información, indicando si se deben eliminar, crear o modificar estos o por el contrario dejarlos como estan.</w:t>
            </w:r>
          </w:p>
        </w:tc>
      </w:tr>
      <w:tr w:rsidR="00EE220B" w14:paraId="37D5036C" w14:textId="77777777" w:rsidTr="1343FE16">
        <w:tc>
          <w:tcPr>
            <w:tcW w:w="426" w:type="dxa"/>
          </w:tcPr>
          <w:p w14:paraId="75697EEC" w14:textId="77777777" w:rsidR="00EE220B" w:rsidRDefault="00EA6419">
            <w:r>
              <w:t>7</w:t>
            </w:r>
          </w:p>
        </w:tc>
        <w:tc>
          <w:tcPr>
            <w:tcW w:w="7370" w:type="dxa"/>
          </w:tcPr>
          <w:p w14:paraId="12EF72F0" w14:textId="1AD7EE44" w:rsidR="00EE220B" w:rsidRDefault="1343FE16">
            <w:r w:rsidRPr="1343FE16">
              <w:rPr>
                <w:b/>
                <w:bCs/>
              </w:rPr>
              <w:t>Compuerta Inclusiva</w:t>
            </w:r>
            <w:r w:rsidR="2FDA65C3" w:rsidRPr="1343FE16">
              <w:rPr>
                <w:b/>
                <w:bCs/>
              </w:rPr>
              <w:t xml:space="preserve"> </w:t>
            </w:r>
          </w:p>
        </w:tc>
        <w:tc>
          <w:tcPr>
            <w:tcW w:w="1984" w:type="dxa"/>
          </w:tcPr>
          <w:p w14:paraId="0FD16A01" w14:textId="77777777" w:rsidR="00EE220B" w:rsidRDefault="00EA6419">
            <w:r>
              <w:t>Sin definir</w:t>
            </w:r>
          </w:p>
        </w:tc>
        <w:tc>
          <w:tcPr>
            <w:tcW w:w="1701" w:type="dxa"/>
          </w:tcPr>
          <w:p w14:paraId="6CCA3F23" w14:textId="77777777" w:rsidR="00EE220B" w:rsidRDefault="00EA6419">
            <w:r>
              <w:t>Sin definir</w:t>
            </w:r>
          </w:p>
        </w:tc>
        <w:tc>
          <w:tcPr>
            <w:tcW w:w="2268" w:type="dxa"/>
          </w:tcPr>
          <w:p w14:paraId="4D2E7904" w14:textId="77777777" w:rsidR="00EE220B" w:rsidRDefault="00EA6419">
            <w:r>
              <w:t>Sin definir</w:t>
            </w:r>
          </w:p>
        </w:tc>
      </w:tr>
      <w:tr w:rsidR="00EE220B" w14:paraId="4099DA86" w14:textId="77777777" w:rsidTr="1343FE16">
        <w:tc>
          <w:tcPr>
            <w:tcW w:w="426" w:type="dxa"/>
          </w:tcPr>
          <w:p w14:paraId="44B0A208" w14:textId="77777777" w:rsidR="00EE220B" w:rsidRDefault="00EA6419">
            <w:r>
              <w:t>8</w:t>
            </w:r>
          </w:p>
        </w:tc>
        <w:tc>
          <w:tcPr>
            <w:tcW w:w="7370" w:type="dxa"/>
          </w:tcPr>
          <w:p w14:paraId="4CAE0289" w14:textId="1A382942" w:rsidR="00EE220B" w:rsidRDefault="1343FE16">
            <w:r w:rsidRPr="1343FE16">
              <w:rPr>
                <w:b/>
                <w:bCs/>
              </w:rPr>
              <w:t>Identificar, clasificar y etiquetar activos</w:t>
            </w:r>
            <w:r w:rsidR="00EA6419">
              <w:br/>
            </w:r>
            <w:r>
              <w:t xml:space="preserve">El gestor y las personas técnicas del proceso que consideren identifican, clasifican y etiquetan los activos de información en el formato Identificación de activos de información -DIFT46 de acuerdo con los lineamientos establecidos por la Subdirección de Tecnologías de  la </w:t>
            </w:r>
            <w:r w:rsidR="6CC9F835">
              <w:t>Información</w:t>
            </w:r>
            <w:r>
              <w:t>, Dirección Jurídica y Grupo Gestión Documental junto con lo establecido en el manual para la clasificación y etiquetado de los activos de información (DIMN18).</w:t>
            </w:r>
            <w:r w:rsidR="00EA6419">
              <w:br/>
            </w:r>
            <w:r>
              <w:t xml:space="preserve">Cuando se esté diligenciando el instrumento de de identificación de activos de información - DIFT46 se deberá indicar por cada uno, si este contiene datos personales y se deberá diligenciar la plantilla "herramienta recolección de información Registro Nacional Base de Datos - RNBD" informada y entregada por la Subdirección de Tecnologías de Ia Información en la capacitación previa como insumo para posterior carga en el registro nacional de bases de datos de la </w:t>
            </w:r>
            <w:r>
              <w:lastRenderedPageBreak/>
              <w:t xml:space="preserve">Superintendencia de Industria y Comercio cuando los activos estén aprobados por el comite. </w:t>
            </w:r>
            <w:r w:rsidR="00EA6419">
              <w:br/>
            </w:r>
            <w:r>
              <w:t xml:space="preserve"> Finalmente, el gestor elabora un correo electrónico que incluye el formato diligenciado DIFT46, así como la herramienta "Recolección de Información para el Registro Nacional de Bases de Datos (RNBD)", con copia al líder del proceso para su conocimiento, y lo remite al </w:t>
            </w:r>
            <w:r w:rsidR="064E0BAA">
              <w:t>subdirector</w:t>
            </w:r>
            <w:r>
              <w:t xml:space="preserve"> de Tecnologías de la Información.</w:t>
            </w:r>
          </w:p>
        </w:tc>
        <w:tc>
          <w:tcPr>
            <w:tcW w:w="1984" w:type="dxa"/>
          </w:tcPr>
          <w:p w14:paraId="6EB3D46D" w14:textId="56512579" w:rsidR="00EE220B" w:rsidRDefault="402AA026">
            <w:r>
              <w:lastRenderedPageBreak/>
              <w:t>Profesional asignado de la subdirección de Tecnologías de la Información</w:t>
            </w:r>
          </w:p>
          <w:p w14:paraId="3B1CD155" w14:textId="54EB6145" w:rsidR="00EE220B" w:rsidRDefault="00EE220B"/>
        </w:tc>
        <w:tc>
          <w:tcPr>
            <w:tcW w:w="1701" w:type="dxa"/>
          </w:tcPr>
          <w:p w14:paraId="3D597128" w14:textId="77777777" w:rsidR="00EE220B" w:rsidRDefault="00EA6419">
            <w:r>
              <w:t>Sin definir</w:t>
            </w:r>
          </w:p>
        </w:tc>
        <w:tc>
          <w:tcPr>
            <w:tcW w:w="2268" w:type="dxa"/>
          </w:tcPr>
          <w:p w14:paraId="7931C199" w14:textId="77777777" w:rsidR="00EE220B" w:rsidRDefault="00EA6419">
            <w:r>
              <w:t>Sin definir</w:t>
            </w:r>
          </w:p>
        </w:tc>
      </w:tr>
      <w:tr w:rsidR="00EE220B" w14:paraId="1BDB2C66" w14:textId="77777777" w:rsidTr="1343FE16">
        <w:tc>
          <w:tcPr>
            <w:tcW w:w="426" w:type="dxa"/>
          </w:tcPr>
          <w:p w14:paraId="2B2B7304" w14:textId="77777777" w:rsidR="00EE220B" w:rsidRDefault="00EA6419">
            <w:r>
              <w:t>9</w:t>
            </w:r>
          </w:p>
        </w:tc>
        <w:tc>
          <w:tcPr>
            <w:tcW w:w="7370" w:type="dxa"/>
          </w:tcPr>
          <w:p w14:paraId="0EBD7AB0" w14:textId="77777777" w:rsidR="00EE220B" w:rsidRDefault="00EA6419">
            <w:r>
              <w:rPr>
                <w:b/>
              </w:rPr>
              <w:t>Compuerta Exclusiva</w:t>
            </w:r>
          </w:p>
        </w:tc>
        <w:tc>
          <w:tcPr>
            <w:tcW w:w="1984" w:type="dxa"/>
          </w:tcPr>
          <w:p w14:paraId="1112EE8B" w14:textId="77777777" w:rsidR="00EE220B" w:rsidRDefault="00EA6419">
            <w:r>
              <w:t>Sin definir</w:t>
            </w:r>
          </w:p>
        </w:tc>
        <w:tc>
          <w:tcPr>
            <w:tcW w:w="1701" w:type="dxa"/>
          </w:tcPr>
          <w:p w14:paraId="666C0002" w14:textId="77777777" w:rsidR="00EE220B" w:rsidRDefault="00EA6419">
            <w:r>
              <w:t>Sin definir</w:t>
            </w:r>
          </w:p>
        </w:tc>
        <w:tc>
          <w:tcPr>
            <w:tcW w:w="2268" w:type="dxa"/>
          </w:tcPr>
          <w:p w14:paraId="26E35EC5" w14:textId="77777777" w:rsidR="00EE220B" w:rsidRDefault="00EA6419">
            <w:r>
              <w:t>Sin definir</w:t>
            </w:r>
          </w:p>
        </w:tc>
      </w:tr>
      <w:tr w:rsidR="00EE220B" w14:paraId="0D2D7391" w14:textId="77777777" w:rsidTr="1343FE16">
        <w:tc>
          <w:tcPr>
            <w:tcW w:w="426" w:type="dxa"/>
          </w:tcPr>
          <w:p w14:paraId="5D369756" w14:textId="77777777" w:rsidR="00EE220B" w:rsidRDefault="00EA6419">
            <w:r>
              <w:t>10</w:t>
            </w:r>
          </w:p>
        </w:tc>
        <w:tc>
          <w:tcPr>
            <w:tcW w:w="7370" w:type="dxa"/>
          </w:tcPr>
          <w:p w14:paraId="52382E72" w14:textId="77777777" w:rsidR="00EE220B" w:rsidRDefault="00EA6419">
            <w:r>
              <w:rPr>
                <w:b/>
              </w:rPr>
              <w:t>Compuerta Inclusiva</w:t>
            </w:r>
          </w:p>
        </w:tc>
        <w:tc>
          <w:tcPr>
            <w:tcW w:w="1984" w:type="dxa"/>
          </w:tcPr>
          <w:p w14:paraId="604B6DF5" w14:textId="77777777" w:rsidR="00EE220B" w:rsidRDefault="00EA6419">
            <w:r>
              <w:t>Sin definir</w:t>
            </w:r>
          </w:p>
        </w:tc>
        <w:tc>
          <w:tcPr>
            <w:tcW w:w="1701" w:type="dxa"/>
          </w:tcPr>
          <w:p w14:paraId="5D73792B" w14:textId="77777777" w:rsidR="00EE220B" w:rsidRDefault="00EA6419">
            <w:r>
              <w:t>Sin definir</w:t>
            </w:r>
          </w:p>
        </w:tc>
        <w:tc>
          <w:tcPr>
            <w:tcW w:w="2268" w:type="dxa"/>
          </w:tcPr>
          <w:p w14:paraId="1626ACAC" w14:textId="77777777" w:rsidR="00EE220B" w:rsidRDefault="00EA6419">
            <w:r>
              <w:t>Sin definir</w:t>
            </w:r>
          </w:p>
        </w:tc>
      </w:tr>
      <w:tr w:rsidR="00EE220B" w14:paraId="3FAD75B0" w14:textId="77777777" w:rsidTr="1343FE16">
        <w:tc>
          <w:tcPr>
            <w:tcW w:w="426" w:type="dxa"/>
            <w:shd w:val="clear" w:color="auto" w:fill="FFC000" w:themeFill="accent4"/>
          </w:tcPr>
          <w:p w14:paraId="4737E36C" w14:textId="77777777" w:rsidR="00EE220B" w:rsidRDefault="00EA6419">
            <w:r>
              <w:t>11</w:t>
            </w:r>
          </w:p>
        </w:tc>
        <w:tc>
          <w:tcPr>
            <w:tcW w:w="7370" w:type="dxa"/>
          </w:tcPr>
          <w:p w14:paraId="5D9C11DF" w14:textId="31A68994" w:rsidR="00EE220B" w:rsidRDefault="1343FE16">
            <w:r w:rsidRPr="1343FE16">
              <w:rPr>
                <w:b/>
                <w:bCs/>
              </w:rPr>
              <w:t>Revisar identificación de activos de información</w:t>
            </w:r>
            <w:r w:rsidR="00EA6419">
              <w:br/>
            </w:r>
            <w:r>
              <w:t>Los profesionales asignados de las áreas de la Subdirección de Tecnologías de la información y Grupo Gestión Documental revisan la clasificación de confidencialidad, integridad y disponibilidad, asi como, la alineación con las tablas de retención documental (TRD) de los activos de información. </w:t>
            </w:r>
          </w:p>
          <w:p w14:paraId="4F546A25" w14:textId="77777777" w:rsidR="00EE220B" w:rsidRDefault="00EA6419">
            <w:r>
              <w:br/>
            </w:r>
            <w:r w:rsidR="1343FE16">
              <w:t>En caso de identificarse ajustes, el Coordinador del Grupo de Seguridad Digital, o quien haga sus veces, remite un correo electrónico a la dependencia correspondiente con las observaciones y recomendaciones a implementar.</w:t>
            </w:r>
          </w:p>
          <w:p w14:paraId="26A1DA03" w14:textId="7C1DD442" w:rsidR="00EE220B" w:rsidRDefault="00EA6419">
            <w:r>
              <w:br/>
            </w:r>
            <w:r w:rsidR="1343FE16">
              <w:t xml:space="preserve">Si el formato diligenciado de Identificación de Activos de Información (DIFT46) cumple con los requisitos, el Coordinador del Grupo de Seguridad Digital envía el documento por correo electrónico, con copia al </w:t>
            </w:r>
            <w:r w:rsidR="1D789608">
              <w:t>subdirector</w:t>
            </w:r>
            <w:r w:rsidR="1343FE16">
              <w:t xml:space="preserve"> de Tecnologías de la Información, al </w:t>
            </w:r>
            <w:r w:rsidR="7C1189B0">
              <w:t>director</w:t>
            </w:r>
            <w:r w:rsidR="1343FE16">
              <w:t xml:space="preserve"> Jurídico o al responsable designado, para su respectiva valoración.</w:t>
            </w:r>
          </w:p>
        </w:tc>
        <w:tc>
          <w:tcPr>
            <w:tcW w:w="1984" w:type="dxa"/>
          </w:tcPr>
          <w:p w14:paraId="60B390BD" w14:textId="56512579" w:rsidR="00EE220B" w:rsidRDefault="4BDC08DD">
            <w:r>
              <w:t>Profesional asignado de la subdirección de Tecnologías de la Información</w:t>
            </w:r>
          </w:p>
          <w:p w14:paraId="6D113847" w14:textId="68A795C5" w:rsidR="00EE220B" w:rsidRDefault="00EE220B"/>
        </w:tc>
        <w:tc>
          <w:tcPr>
            <w:tcW w:w="1701" w:type="dxa"/>
          </w:tcPr>
          <w:p w14:paraId="687FB12F" w14:textId="77777777" w:rsidR="00EE220B" w:rsidRDefault="00EA6419">
            <w:r>
              <w:t>A demanda.</w:t>
            </w:r>
          </w:p>
        </w:tc>
        <w:tc>
          <w:tcPr>
            <w:tcW w:w="2268" w:type="dxa"/>
          </w:tcPr>
          <w:p w14:paraId="0FA194A0" w14:textId="755F3743" w:rsidR="00EE220B" w:rsidRDefault="1343FE16">
            <w:r>
              <w:t xml:space="preserve">Correo electrónico resultado de las mesas de trabajo. </w:t>
            </w:r>
          </w:p>
        </w:tc>
      </w:tr>
      <w:tr w:rsidR="00EE220B" w14:paraId="7DD6A617" w14:textId="77777777" w:rsidTr="1343FE16">
        <w:tc>
          <w:tcPr>
            <w:tcW w:w="426" w:type="dxa"/>
          </w:tcPr>
          <w:p w14:paraId="4B73E586" w14:textId="77777777" w:rsidR="00EE220B" w:rsidRDefault="00EA6419">
            <w:r>
              <w:t>12</w:t>
            </w:r>
          </w:p>
        </w:tc>
        <w:tc>
          <w:tcPr>
            <w:tcW w:w="7370" w:type="dxa"/>
          </w:tcPr>
          <w:p w14:paraId="7A1CE196" w14:textId="77777777" w:rsidR="00EE220B" w:rsidRDefault="00EA6419">
            <w:r>
              <w:rPr>
                <w:b/>
              </w:rPr>
              <w:t>Compuerta Inclusiva</w:t>
            </w:r>
          </w:p>
        </w:tc>
        <w:tc>
          <w:tcPr>
            <w:tcW w:w="1984" w:type="dxa"/>
          </w:tcPr>
          <w:p w14:paraId="37BB544A" w14:textId="63B1FA35" w:rsidR="00EE220B" w:rsidRDefault="4BFC9E6A">
            <w:r>
              <w:t>Subdirección de Tecnologías de la Información</w:t>
            </w:r>
          </w:p>
        </w:tc>
        <w:tc>
          <w:tcPr>
            <w:tcW w:w="1701" w:type="dxa"/>
          </w:tcPr>
          <w:p w14:paraId="26A78299" w14:textId="77777777" w:rsidR="00EE220B" w:rsidRDefault="00EA6419">
            <w:r>
              <w:t>Sin definir</w:t>
            </w:r>
          </w:p>
        </w:tc>
        <w:tc>
          <w:tcPr>
            <w:tcW w:w="2268" w:type="dxa"/>
          </w:tcPr>
          <w:p w14:paraId="059028EC" w14:textId="77777777" w:rsidR="00EE220B" w:rsidRDefault="00EA6419">
            <w:r>
              <w:t>Sin definir</w:t>
            </w:r>
          </w:p>
        </w:tc>
      </w:tr>
      <w:tr w:rsidR="00EE220B" w14:paraId="3DD7ACF5" w14:textId="77777777" w:rsidTr="1343FE16">
        <w:tc>
          <w:tcPr>
            <w:tcW w:w="426" w:type="dxa"/>
          </w:tcPr>
          <w:p w14:paraId="39F18D26" w14:textId="77777777" w:rsidR="00EE220B" w:rsidRDefault="00EA6419">
            <w:r>
              <w:lastRenderedPageBreak/>
              <w:t>13</w:t>
            </w:r>
          </w:p>
        </w:tc>
        <w:tc>
          <w:tcPr>
            <w:tcW w:w="7370" w:type="dxa"/>
          </w:tcPr>
          <w:p w14:paraId="35F6EDD1" w14:textId="63CEFDF8" w:rsidR="00EE220B" w:rsidRDefault="1343FE16">
            <w:r w:rsidRPr="1343FE16">
              <w:rPr>
                <w:b/>
                <w:bCs/>
              </w:rPr>
              <w:t>¿Se aprueba?</w:t>
            </w:r>
            <w:r w:rsidR="53E4F76D" w:rsidRPr="1343FE16">
              <w:rPr>
                <w:b/>
                <w:bCs/>
              </w:rPr>
              <w:t xml:space="preserve"> </w:t>
            </w:r>
          </w:p>
          <w:p w14:paraId="027CE142" w14:textId="6D8FB39F" w:rsidR="00EE220B" w:rsidRDefault="53E4F76D" w:rsidP="1343FE16">
            <w:pPr>
              <w:rPr>
                <w:b/>
                <w:bCs/>
              </w:rPr>
            </w:pPr>
            <w:r w:rsidRPr="1343FE16">
              <w:rPr>
                <w:b/>
                <w:bCs/>
              </w:rPr>
              <w:t>Si. Pasa a actividad 14</w:t>
            </w:r>
          </w:p>
          <w:p w14:paraId="611AF181" w14:textId="26D309BA" w:rsidR="00EE220B" w:rsidRDefault="00EE220B" w:rsidP="1343FE16">
            <w:pPr>
              <w:rPr>
                <w:b/>
                <w:bCs/>
              </w:rPr>
            </w:pPr>
          </w:p>
          <w:p w14:paraId="5B663EA2" w14:textId="24D3BC8F" w:rsidR="00EE220B" w:rsidRDefault="53E4F76D" w:rsidP="1343FE16">
            <w:pPr>
              <w:rPr>
                <w:b/>
                <w:bCs/>
              </w:rPr>
            </w:pPr>
            <w:r w:rsidRPr="1343FE16">
              <w:rPr>
                <w:b/>
                <w:bCs/>
              </w:rPr>
              <w:t xml:space="preserve">No. Pasa a actividad </w:t>
            </w:r>
          </w:p>
          <w:p w14:paraId="0D444F4D" w14:textId="1B561362" w:rsidR="00EE220B" w:rsidRDefault="00EE220B" w:rsidP="1343FE16">
            <w:pPr>
              <w:rPr>
                <w:b/>
                <w:bCs/>
              </w:rPr>
            </w:pPr>
          </w:p>
        </w:tc>
        <w:tc>
          <w:tcPr>
            <w:tcW w:w="1984" w:type="dxa"/>
          </w:tcPr>
          <w:p w14:paraId="7320B3F4" w14:textId="370FBF0A" w:rsidR="00EE220B" w:rsidRDefault="00EE220B"/>
        </w:tc>
        <w:tc>
          <w:tcPr>
            <w:tcW w:w="1701" w:type="dxa"/>
          </w:tcPr>
          <w:p w14:paraId="535C6A34" w14:textId="77777777" w:rsidR="00EE220B" w:rsidRDefault="00EA6419">
            <w:r>
              <w:t>Sin definir</w:t>
            </w:r>
          </w:p>
        </w:tc>
        <w:tc>
          <w:tcPr>
            <w:tcW w:w="2268" w:type="dxa"/>
          </w:tcPr>
          <w:p w14:paraId="7B0E8564" w14:textId="77777777" w:rsidR="00EE220B" w:rsidRDefault="00EA6419">
            <w:r>
              <w:t>Sin definir</w:t>
            </w:r>
          </w:p>
        </w:tc>
      </w:tr>
      <w:tr w:rsidR="00EE220B" w14:paraId="597ECF33" w14:textId="77777777" w:rsidTr="1343FE16">
        <w:tc>
          <w:tcPr>
            <w:tcW w:w="426" w:type="dxa"/>
            <w:shd w:val="clear" w:color="auto" w:fill="FFC000" w:themeFill="accent4"/>
          </w:tcPr>
          <w:p w14:paraId="4E1E336A" w14:textId="77777777" w:rsidR="00EE220B" w:rsidRDefault="00EA6419">
            <w:r>
              <w:t>14</w:t>
            </w:r>
          </w:p>
        </w:tc>
        <w:tc>
          <w:tcPr>
            <w:tcW w:w="7370" w:type="dxa"/>
          </w:tcPr>
          <w:p w14:paraId="2531DA3B" w14:textId="6A32BC18" w:rsidR="00EE220B" w:rsidRDefault="1343FE16">
            <w:r w:rsidRPr="1343FE16">
              <w:rPr>
                <w:b/>
                <w:bCs/>
              </w:rPr>
              <w:t xml:space="preserve">Revisar clasificación de información </w:t>
            </w:r>
            <w:r w:rsidR="20B02092" w:rsidRPr="1343FE16">
              <w:rPr>
                <w:b/>
                <w:bCs/>
              </w:rPr>
              <w:t>pública</w:t>
            </w:r>
            <w:r w:rsidRPr="1343FE16">
              <w:rPr>
                <w:b/>
                <w:bCs/>
              </w:rPr>
              <w:t>, reservada y clasificada</w:t>
            </w:r>
            <w:r w:rsidR="00EA6419">
              <w:br/>
            </w:r>
            <w:r>
              <w:t>El profesional asignado de la Dirección Jurídica revisa la clasificación de información pública, reservada y clasificada de los activos de información diligenciada por los gestores asignados.</w:t>
            </w:r>
          </w:p>
          <w:p w14:paraId="50B7C735" w14:textId="77777777" w:rsidR="00EE220B" w:rsidRDefault="00EA6419">
            <w:r>
              <w:br/>
            </w:r>
            <w:r w:rsidR="1343FE16">
              <w:t>El Coordinador de Seguridad Digital remite por correo electrónico al gestor, los activos de información y, si aplica, el Registro Nacional de Bases de Datos aprobados por la Subdirección de Tecnologías de la Información, el Grupo de Gestión Documental y la Dirección Jurídica.</w:t>
            </w:r>
          </w:p>
        </w:tc>
        <w:tc>
          <w:tcPr>
            <w:tcW w:w="1984" w:type="dxa"/>
          </w:tcPr>
          <w:p w14:paraId="42064DD3" w14:textId="77777777" w:rsidR="00EE220B" w:rsidRDefault="00EA6419">
            <w:r>
              <w:t>Sin definir</w:t>
            </w:r>
          </w:p>
        </w:tc>
        <w:tc>
          <w:tcPr>
            <w:tcW w:w="1701" w:type="dxa"/>
          </w:tcPr>
          <w:p w14:paraId="5A0D21A3" w14:textId="77777777" w:rsidR="00EE220B" w:rsidRDefault="00EA6419">
            <w:r>
              <w:t>Trimestralmente. _x000d_</w:t>
            </w:r>
          </w:p>
        </w:tc>
        <w:tc>
          <w:tcPr>
            <w:tcW w:w="2268" w:type="dxa"/>
          </w:tcPr>
          <w:p w14:paraId="2EDF0882" w14:textId="4DD5B5D7" w:rsidR="00EE220B" w:rsidRDefault="1343FE16">
            <w:r>
              <w:t xml:space="preserve">Correo electrónico resultado de las mesas de trabajo. </w:t>
            </w:r>
          </w:p>
        </w:tc>
      </w:tr>
      <w:tr w:rsidR="00EE220B" w14:paraId="2AB6CED0" w14:textId="77777777" w:rsidTr="1343FE16">
        <w:tc>
          <w:tcPr>
            <w:tcW w:w="426" w:type="dxa"/>
          </w:tcPr>
          <w:p w14:paraId="33CFEC6B" w14:textId="77777777" w:rsidR="00EE220B" w:rsidRDefault="00EA6419">
            <w:r>
              <w:t>15</w:t>
            </w:r>
          </w:p>
        </w:tc>
        <w:tc>
          <w:tcPr>
            <w:tcW w:w="7370" w:type="dxa"/>
          </w:tcPr>
          <w:p w14:paraId="4E5868A9" w14:textId="77777777" w:rsidR="00EE220B" w:rsidRDefault="1343FE16">
            <w:r w:rsidRPr="1343FE16">
              <w:rPr>
                <w:b/>
                <w:bCs/>
              </w:rPr>
              <w:t>¿Se aprueba?</w:t>
            </w:r>
          </w:p>
          <w:p w14:paraId="050B277B" w14:textId="662BA551" w:rsidR="00EE220B" w:rsidRDefault="57400382" w:rsidP="1343FE16">
            <w:pPr>
              <w:rPr>
                <w:b/>
                <w:bCs/>
              </w:rPr>
            </w:pPr>
            <w:r w:rsidRPr="1343FE16">
              <w:rPr>
                <w:b/>
                <w:bCs/>
              </w:rPr>
              <w:t xml:space="preserve"> No. Pasa a actividad </w:t>
            </w:r>
          </w:p>
          <w:p w14:paraId="4E0AFB34" w14:textId="6F3CCF1B" w:rsidR="00EE220B" w:rsidRDefault="00EE220B" w:rsidP="1343FE16">
            <w:pPr>
              <w:rPr>
                <w:b/>
                <w:bCs/>
              </w:rPr>
            </w:pPr>
          </w:p>
          <w:p w14:paraId="0E4732AE" w14:textId="4C90B1C6" w:rsidR="00EE220B" w:rsidRDefault="00EE220B" w:rsidP="1343FE16">
            <w:pPr>
              <w:rPr>
                <w:b/>
                <w:bCs/>
              </w:rPr>
            </w:pPr>
          </w:p>
        </w:tc>
        <w:tc>
          <w:tcPr>
            <w:tcW w:w="1984" w:type="dxa"/>
          </w:tcPr>
          <w:p w14:paraId="0058DC58" w14:textId="77777777" w:rsidR="00EE220B" w:rsidRDefault="00EA6419">
            <w:r>
              <w:t>Sin definir</w:t>
            </w:r>
          </w:p>
        </w:tc>
        <w:tc>
          <w:tcPr>
            <w:tcW w:w="1701" w:type="dxa"/>
          </w:tcPr>
          <w:p w14:paraId="3A96D133" w14:textId="77777777" w:rsidR="00EE220B" w:rsidRDefault="00EA6419">
            <w:r>
              <w:t>Sin definir</w:t>
            </w:r>
          </w:p>
        </w:tc>
        <w:tc>
          <w:tcPr>
            <w:tcW w:w="2268" w:type="dxa"/>
          </w:tcPr>
          <w:p w14:paraId="3C9A6876" w14:textId="77777777" w:rsidR="00EE220B" w:rsidRDefault="00EA6419">
            <w:r>
              <w:t>Sin definir</w:t>
            </w:r>
          </w:p>
        </w:tc>
      </w:tr>
      <w:tr w:rsidR="00EE220B" w14:paraId="072C1981" w14:textId="77777777" w:rsidTr="1343FE16">
        <w:tc>
          <w:tcPr>
            <w:tcW w:w="426" w:type="dxa"/>
          </w:tcPr>
          <w:p w14:paraId="0EB5E791" w14:textId="77777777" w:rsidR="00EE220B" w:rsidRDefault="00EA6419">
            <w:r>
              <w:t>16</w:t>
            </w:r>
          </w:p>
        </w:tc>
        <w:tc>
          <w:tcPr>
            <w:tcW w:w="7370" w:type="dxa"/>
          </w:tcPr>
          <w:p w14:paraId="2889EEBE" w14:textId="77777777" w:rsidR="00EE220B" w:rsidRDefault="00EA6419">
            <w:r>
              <w:rPr>
                <w:b/>
              </w:rPr>
              <w:t>Remitir activos de información al líder del proceso</w:t>
            </w:r>
            <w:r>
              <w:br/>
              <w:t>El gestor asignado remite por correo electrónico los activos de información y, si aplica, el Registro Nacional de Bases de Datos Personales al líder del proceso para su revisión.</w:t>
            </w:r>
          </w:p>
        </w:tc>
        <w:tc>
          <w:tcPr>
            <w:tcW w:w="1984" w:type="dxa"/>
          </w:tcPr>
          <w:p w14:paraId="52FC1155" w14:textId="56512579" w:rsidR="00EE220B" w:rsidRDefault="1229C8B2">
            <w:r>
              <w:t>Profesional asignado de la subdirección de Tecnologías de la Información</w:t>
            </w:r>
          </w:p>
          <w:p w14:paraId="30BEE753" w14:textId="53511A5D" w:rsidR="00EE220B" w:rsidRDefault="00EE220B"/>
        </w:tc>
        <w:tc>
          <w:tcPr>
            <w:tcW w:w="1701" w:type="dxa"/>
          </w:tcPr>
          <w:p w14:paraId="38DCF9E1" w14:textId="77777777" w:rsidR="00EE220B" w:rsidRDefault="00EA6419">
            <w:r>
              <w:t>Sin definir</w:t>
            </w:r>
          </w:p>
        </w:tc>
        <w:tc>
          <w:tcPr>
            <w:tcW w:w="2268" w:type="dxa"/>
          </w:tcPr>
          <w:p w14:paraId="2D9AB59E" w14:textId="77777777" w:rsidR="00EE220B" w:rsidRDefault="00EA6419">
            <w:r>
              <w:t>Sin definir</w:t>
            </w:r>
          </w:p>
        </w:tc>
      </w:tr>
      <w:tr w:rsidR="00EE220B" w14:paraId="2E40472E" w14:textId="77777777" w:rsidTr="1343FE16">
        <w:tc>
          <w:tcPr>
            <w:tcW w:w="426" w:type="dxa"/>
            <w:shd w:val="clear" w:color="auto" w:fill="FFC000" w:themeFill="accent4"/>
          </w:tcPr>
          <w:p w14:paraId="111B77A1" w14:textId="77777777" w:rsidR="00EE220B" w:rsidRDefault="00EA6419">
            <w:r>
              <w:t>17</w:t>
            </w:r>
          </w:p>
        </w:tc>
        <w:tc>
          <w:tcPr>
            <w:tcW w:w="7370" w:type="dxa"/>
          </w:tcPr>
          <w:p w14:paraId="15186432" w14:textId="4B949E4F" w:rsidR="00EE220B" w:rsidRDefault="1343FE16">
            <w:r w:rsidRPr="1343FE16">
              <w:rPr>
                <w:b/>
                <w:bCs/>
              </w:rPr>
              <w:t>Validar los activos de información del proceso</w:t>
            </w:r>
            <w:r w:rsidR="00EA6419">
              <w:br/>
            </w:r>
            <w:r>
              <w:t>El líder del proceso valida los activos de información y, si aplica, el Registro Nacional de Bases de Datos Personales. </w:t>
            </w:r>
            <w:r w:rsidR="00EA6419">
              <w:br/>
            </w:r>
            <w:r>
              <w:lastRenderedPageBreak/>
              <w:t xml:space="preserve">Si se aprueba, el profesional elabora el borrador del memorando y/o correo electrónico y lo remite al </w:t>
            </w:r>
            <w:r w:rsidR="24CBE1A4">
              <w:t>subdirector</w:t>
            </w:r>
            <w:r>
              <w:t xml:space="preserve"> de Tecnologías de la Información para su validación. Si durante el proceso de revisión se formulan observaciones, el líder del proceso devolverá el documento al profesional asignado para que realice los ajustes correspondientes. En caso de no presentarse observaciones, el </w:t>
            </w:r>
            <w:r w:rsidR="6A13AA53">
              <w:t>líder</w:t>
            </w:r>
            <w:r>
              <w:t xml:space="preserve"> del proceso procederá con el envío del memorando al </w:t>
            </w:r>
            <w:r w:rsidR="61D89E22">
              <w:t>subdirector</w:t>
            </w:r>
            <w:r>
              <w:t xml:space="preserve"> de Tecnologías de la información.</w:t>
            </w:r>
            <w:r w:rsidR="00EA6419">
              <w:br/>
            </w:r>
            <w:r>
              <w:t>Si se rechaza se deberá surtir el trámite nuevamente de identificar, clasificar y etiquetar activos.</w:t>
            </w:r>
          </w:p>
        </w:tc>
        <w:tc>
          <w:tcPr>
            <w:tcW w:w="1984" w:type="dxa"/>
          </w:tcPr>
          <w:p w14:paraId="650C9DD9" w14:textId="71A8A522" w:rsidR="00EE220B" w:rsidRDefault="73AB2141">
            <w:r>
              <w:lastRenderedPageBreak/>
              <w:t>Director de Innovación y Desarrollo</w:t>
            </w:r>
          </w:p>
        </w:tc>
        <w:tc>
          <w:tcPr>
            <w:tcW w:w="1701" w:type="dxa"/>
          </w:tcPr>
          <w:p w14:paraId="6161DCB5" w14:textId="77777777" w:rsidR="00EE220B" w:rsidRDefault="00EA6419">
            <w:r>
              <w:t>Trimestralmente.</w:t>
            </w:r>
          </w:p>
        </w:tc>
        <w:tc>
          <w:tcPr>
            <w:tcW w:w="2268" w:type="dxa"/>
          </w:tcPr>
          <w:p w14:paraId="71D67DE8" w14:textId="77777777" w:rsidR="00EE220B" w:rsidRDefault="00EA6419">
            <w:r>
              <w:t xml:space="preserve">Correo o memorando de aprobación o rechazo de </w:t>
            </w:r>
            <w:r>
              <w:lastRenderedPageBreak/>
              <w:t>los activos de información.</w:t>
            </w:r>
          </w:p>
        </w:tc>
      </w:tr>
      <w:tr w:rsidR="00EE220B" w14:paraId="2156803B" w14:textId="77777777" w:rsidTr="1343FE16">
        <w:tc>
          <w:tcPr>
            <w:tcW w:w="426" w:type="dxa"/>
          </w:tcPr>
          <w:p w14:paraId="526D80A2" w14:textId="77777777" w:rsidR="00EE220B" w:rsidRDefault="00EA6419">
            <w:r>
              <w:lastRenderedPageBreak/>
              <w:t>18</w:t>
            </w:r>
          </w:p>
        </w:tc>
        <w:tc>
          <w:tcPr>
            <w:tcW w:w="7370" w:type="dxa"/>
          </w:tcPr>
          <w:p w14:paraId="3749152A" w14:textId="77777777" w:rsidR="00EE220B" w:rsidRDefault="1343FE16">
            <w:r w:rsidRPr="1343FE16">
              <w:rPr>
                <w:b/>
                <w:bCs/>
              </w:rPr>
              <w:t>¿Se aprueba?</w:t>
            </w:r>
          </w:p>
          <w:p w14:paraId="4C639DDA" w14:textId="7DB46429" w:rsidR="00EE220B" w:rsidRDefault="0BC9539E" w:rsidP="1343FE16">
            <w:pPr>
              <w:rPr>
                <w:b/>
                <w:bCs/>
              </w:rPr>
            </w:pPr>
            <w:r w:rsidRPr="1343FE16">
              <w:rPr>
                <w:b/>
                <w:bCs/>
              </w:rPr>
              <w:t>No. Pasa a actividad 8</w:t>
            </w:r>
          </w:p>
          <w:p w14:paraId="38D4E8EE" w14:textId="5756322E" w:rsidR="00EE220B" w:rsidRDefault="0BC9539E" w:rsidP="1343FE16">
            <w:pPr>
              <w:rPr>
                <w:b/>
                <w:bCs/>
              </w:rPr>
            </w:pPr>
            <w:r w:rsidRPr="1343FE16">
              <w:rPr>
                <w:b/>
                <w:bCs/>
              </w:rPr>
              <w:t>Si. Pasa a actividad 19</w:t>
            </w:r>
          </w:p>
          <w:p w14:paraId="1CABFDAC" w14:textId="6BDECE5E" w:rsidR="00EE220B" w:rsidRDefault="00EE220B" w:rsidP="1343FE16">
            <w:pPr>
              <w:rPr>
                <w:b/>
                <w:bCs/>
              </w:rPr>
            </w:pPr>
          </w:p>
        </w:tc>
        <w:tc>
          <w:tcPr>
            <w:tcW w:w="1984" w:type="dxa"/>
          </w:tcPr>
          <w:p w14:paraId="10CBCC49" w14:textId="77777777" w:rsidR="00EE220B" w:rsidRDefault="00EA6419">
            <w:r>
              <w:t>Sin definir</w:t>
            </w:r>
          </w:p>
        </w:tc>
        <w:tc>
          <w:tcPr>
            <w:tcW w:w="1701" w:type="dxa"/>
          </w:tcPr>
          <w:p w14:paraId="0281D3A1" w14:textId="77777777" w:rsidR="00EE220B" w:rsidRDefault="00EA6419">
            <w:r>
              <w:t>Sin definir</w:t>
            </w:r>
          </w:p>
        </w:tc>
        <w:tc>
          <w:tcPr>
            <w:tcW w:w="2268" w:type="dxa"/>
          </w:tcPr>
          <w:p w14:paraId="21DB5156" w14:textId="77777777" w:rsidR="00EE220B" w:rsidRDefault="00EA6419">
            <w:r>
              <w:t>Sin definir</w:t>
            </w:r>
          </w:p>
        </w:tc>
      </w:tr>
      <w:tr w:rsidR="00EE220B" w14:paraId="47860507" w14:textId="77777777" w:rsidTr="1343FE16">
        <w:tc>
          <w:tcPr>
            <w:tcW w:w="426" w:type="dxa"/>
          </w:tcPr>
          <w:p w14:paraId="2847A633" w14:textId="77777777" w:rsidR="00EE220B" w:rsidRDefault="00EA6419">
            <w:r>
              <w:t>19</w:t>
            </w:r>
          </w:p>
        </w:tc>
        <w:tc>
          <w:tcPr>
            <w:tcW w:w="7370" w:type="dxa"/>
          </w:tcPr>
          <w:p w14:paraId="2D5E218C" w14:textId="6AC518AC" w:rsidR="00EE220B" w:rsidRDefault="1343FE16">
            <w:r w:rsidRPr="1343FE16">
              <w:rPr>
                <w:b/>
                <w:bCs/>
              </w:rPr>
              <w:t>Consolidar activos de información reportados</w:t>
            </w:r>
            <w:r w:rsidR="00EA6419">
              <w:br/>
            </w:r>
            <w:r>
              <w:t xml:space="preserve">El profesional asignado consolida los activos de información de todos los procesos, con un plazo máximo de cinco (5) días hábiles antes de la fecha del Comité. Posteriormente, informa al </w:t>
            </w:r>
            <w:r w:rsidR="0B39E86E">
              <w:t>subdirector</w:t>
            </w:r>
            <w:r>
              <w:t xml:space="preserve"> de Tecnologías de la Información sobre la gestión realizada, la cual será presentada ante el Comité Institucional de Gestión y </w:t>
            </w:r>
            <w:r w:rsidR="1CE9FEC0">
              <w:t xml:space="preserve">Desempeño. </w:t>
            </w:r>
            <w:r w:rsidR="00EA6419">
              <w:br/>
            </w:r>
            <w:r>
              <w:t> </w:t>
            </w:r>
            <w:r w:rsidR="00EA6419">
              <w:br/>
            </w:r>
            <w:r>
              <w:t xml:space="preserve">Nota: Se le informa a la Oficina Asesora de Planeación que proceda con la descarga del </w:t>
            </w:r>
            <w:r w:rsidR="11CFFD2D">
              <w:t>índice</w:t>
            </w:r>
            <w:r>
              <w:t xml:space="preserve"> de información clasificada y reservada.</w:t>
            </w:r>
          </w:p>
        </w:tc>
        <w:tc>
          <w:tcPr>
            <w:tcW w:w="1984" w:type="dxa"/>
          </w:tcPr>
          <w:p w14:paraId="1C5F0D4B" w14:textId="56512579" w:rsidR="00EE220B" w:rsidRDefault="4C48E335">
            <w:r>
              <w:t>Profesional asignado de la subdirección de Tecnologías de la Información</w:t>
            </w:r>
          </w:p>
          <w:p w14:paraId="75B7AF18" w14:textId="201626F6" w:rsidR="00EE220B" w:rsidRDefault="00EE220B"/>
        </w:tc>
        <w:tc>
          <w:tcPr>
            <w:tcW w:w="1701" w:type="dxa"/>
          </w:tcPr>
          <w:p w14:paraId="0A752167" w14:textId="77777777" w:rsidR="00EE220B" w:rsidRDefault="00EA6419">
            <w:r>
              <w:t>Sin definir</w:t>
            </w:r>
          </w:p>
        </w:tc>
        <w:tc>
          <w:tcPr>
            <w:tcW w:w="2268" w:type="dxa"/>
          </w:tcPr>
          <w:p w14:paraId="388C4422" w14:textId="77777777" w:rsidR="00EE220B" w:rsidRDefault="00EA6419">
            <w:r>
              <w:t>Sin definir</w:t>
            </w:r>
          </w:p>
        </w:tc>
      </w:tr>
      <w:tr w:rsidR="00EE220B" w14:paraId="727519E9" w14:textId="77777777" w:rsidTr="1343FE16">
        <w:tc>
          <w:tcPr>
            <w:tcW w:w="426" w:type="dxa"/>
          </w:tcPr>
          <w:p w14:paraId="5007C906" w14:textId="77777777" w:rsidR="00EE220B" w:rsidRDefault="00EA6419">
            <w:r>
              <w:t>20</w:t>
            </w:r>
          </w:p>
        </w:tc>
        <w:tc>
          <w:tcPr>
            <w:tcW w:w="7370" w:type="dxa"/>
          </w:tcPr>
          <w:p w14:paraId="6F747368" w14:textId="57B688FA" w:rsidR="00EE220B" w:rsidRDefault="1343FE16">
            <w:r w:rsidRPr="1343FE16">
              <w:rPr>
                <w:b/>
                <w:bCs/>
              </w:rPr>
              <w:t>Disponer la información de activos de información</w:t>
            </w:r>
            <w:r w:rsidR="00EA6419">
              <w:br/>
            </w:r>
            <w:r>
              <w:t xml:space="preserve">El </w:t>
            </w:r>
            <w:r w:rsidR="64D35C84">
              <w:t>profesional</w:t>
            </w:r>
            <w:r>
              <w:t xml:space="preserve"> asignado dispone la información de activos de información en los formatos de los archivos de registro de información e </w:t>
            </w:r>
            <w:r w:rsidR="469D58E5">
              <w:t>ín</w:t>
            </w:r>
            <w:r w:rsidR="7B4F4B6B">
              <w:t>21</w:t>
            </w:r>
            <w:r w:rsidR="469D58E5">
              <w:t>dice</w:t>
            </w:r>
            <w:r>
              <w:t xml:space="preserve"> de información clasificada y reservada de acuerdo con normativa vigente.</w:t>
            </w:r>
          </w:p>
        </w:tc>
        <w:tc>
          <w:tcPr>
            <w:tcW w:w="1984" w:type="dxa"/>
          </w:tcPr>
          <w:p w14:paraId="46A01D3A" w14:textId="465EB560" w:rsidR="00EE220B" w:rsidRDefault="3E1652ED">
            <w:r>
              <w:t>Profesional asignado de la Oficina ASesora de Planeación</w:t>
            </w:r>
          </w:p>
          <w:p w14:paraId="5BA3F50C" w14:textId="6AF4FE51" w:rsidR="00EE220B" w:rsidRDefault="00EE220B"/>
        </w:tc>
        <w:tc>
          <w:tcPr>
            <w:tcW w:w="1701" w:type="dxa"/>
          </w:tcPr>
          <w:p w14:paraId="356ADA17" w14:textId="77777777" w:rsidR="00EE220B" w:rsidRDefault="00EA6419">
            <w:r>
              <w:t>Sin definir</w:t>
            </w:r>
          </w:p>
        </w:tc>
        <w:tc>
          <w:tcPr>
            <w:tcW w:w="2268" w:type="dxa"/>
          </w:tcPr>
          <w:p w14:paraId="768862F9" w14:textId="77777777" w:rsidR="00EE220B" w:rsidRDefault="00EA6419">
            <w:r>
              <w:t>Sin definir</w:t>
            </w:r>
          </w:p>
        </w:tc>
      </w:tr>
      <w:tr w:rsidR="00EE220B" w14:paraId="15881720" w14:textId="77777777" w:rsidTr="1343FE16">
        <w:tc>
          <w:tcPr>
            <w:tcW w:w="426" w:type="dxa"/>
          </w:tcPr>
          <w:p w14:paraId="7B568215" w14:textId="77777777" w:rsidR="00EE220B" w:rsidRDefault="00EA6419">
            <w:r>
              <w:lastRenderedPageBreak/>
              <w:t>21</w:t>
            </w:r>
          </w:p>
        </w:tc>
        <w:tc>
          <w:tcPr>
            <w:tcW w:w="7370" w:type="dxa"/>
          </w:tcPr>
          <w:p w14:paraId="030BDBF8" w14:textId="77777777" w:rsidR="00EE220B" w:rsidRDefault="00EA6419">
            <w:r>
              <w:rPr>
                <w:b/>
              </w:rPr>
              <w:t>Compuerta Paralela</w:t>
            </w:r>
          </w:p>
        </w:tc>
        <w:tc>
          <w:tcPr>
            <w:tcW w:w="1984" w:type="dxa"/>
          </w:tcPr>
          <w:p w14:paraId="1C9BFCD4" w14:textId="3829EA9F" w:rsidR="00EE220B" w:rsidRDefault="00EE220B"/>
        </w:tc>
        <w:tc>
          <w:tcPr>
            <w:tcW w:w="1701" w:type="dxa"/>
          </w:tcPr>
          <w:p w14:paraId="1FE0FA12" w14:textId="77777777" w:rsidR="00EE220B" w:rsidRDefault="00EA6419">
            <w:r>
              <w:t>Sin definir</w:t>
            </w:r>
          </w:p>
        </w:tc>
        <w:tc>
          <w:tcPr>
            <w:tcW w:w="2268" w:type="dxa"/>
          </w:tcPr>
          <w:p w14:paraId="550CB168" w14:textId="77777777" w:rsidR="00EE220B" w:rsidRDefault="00EA6419">
            <w:r>
              <w:t>Sin definir</w:t>
            </w:r>
          </w:p>
        </w:tc>
      </w:tr>
      <w:tr w:rsidR="00EE220B" w14:paraId="6D80D6E8" w14:textId="77777777" w:rsidTr="1343FE16">
        <w:tc>
          <w:tcPr>
            <w:tcW w:w="426" w:type="dxa"/>
          </w:tcPr>
          <w:p w14:paraId="44C26413" w14:textId="77777777" w:rsidR="00EE220B" w:rsidRDefault="00EA6419">
            <w:r>
              <w:t>22</w:t>
            </w:r>
          </w:p>
        </w:tc>
        <w:tc>
          <w:tcPr>
            <w:tcW w:w="7370" w:type="dxa"/>
          </w:tcPr>
          <w:p w14:paraId="74B97D2A" w14:textId="1F5A50F6" w:rsidR="00EE220B" w:rsidRDefault="1343FE16">
            <w:r w:rsidRPr="1343FE16">
              <w:rPr>
                <w:b/>
                <w:bCs/>
              </w:rPr>
              <w:t>Presenta índice de información a Comite</w:t>
            </w:r>
            <w:r w:rsidR="00EA6419">
              <w:br/>
            </w:r>
            <w:r>
              <w:t xml:space="preserve">El </w:t>
            </w:r>
            <w:r w:rsidR="6E8D038D">
              <w:t>director</w:t>
            </w:r>
            <w:r>
              <w:t xml:space="preserve"> Jurídico presenta ante el Comité Institucional de Gestión y Desempeño el resultado de la actualización de activos de información respecto a la calificación legal (</w:t>
            </w:r>
            <w:r w:rsidR="0DCE4906">
              <w:t>índice</w:t>
            </w:r>
            <w:r>
              <w:t xml:space="preserve"> de información clasificada y reservada remitido por la oficina asesora de planeación).</w:t>
            </w:r>
          </w:p>
        </w:tc>
        <w:tc>
          <w:tcPr>
            <w:tcW w:w="1984" w:type="dxa"/>
          </w:tcPr>
          <w:p w14:paraId="7A793C82" w14:textId="56512579" w:rsidR="00EE220B" w:rsidRDefault="52FAE34A">
            <w:r>
              <w:t>Profesional asignado de la subdirección de Tecnologías de la Información</w:t>
            </w:r>
          </w:p>
          <w:p w14:paraId="33884FF0" w14:textId="246BAAF8" w:rsidR="00EE220B" w:rsidRDefault="00EE220B"/>
        </w:tc>
        <w:tc>
          <w:tcPr>
            <w:tcW w:w="1701" w:type="dxa"/>
          </w:tcPr>
          <w:p w14:paraId="7B5F9DE7" w14:textId="77777777" w:rsidR="00EE220B" w:rsidRDefault="00EA6419">
            <w:r>
              <w:t>Sin definir</w:t>
            </w:r>
          </w:p>
        </w:tc>
        <w:tc>
          <w:tcPr>
            <w:tcW w:w="2268" w:type="dxa"/>
          </w:tcPr>
          <w:p w14:paraId="28E3AC67" w14:textId="77777777" w:rsidR="00EE220B" w:rsidRDefault="00EA6419">
            <w:r>
              <w:t>Sin definir</w:t>
            </w:r>
          </w:p>
        </w:tc>
      </w:tr>
      <w:tr w:rsidR="00EE220B" w14:paraId="1E1FA364" w14:textId="77777777" w:rsidTr="1343FE16">
        <w:tc>
          <w:tcPr>
            <w:tcW w:w="426" w:type="dxa"/>
          </w:tcPr>
          <w:p w14:paraId="72E4F76D" w14:textId="77777777" w:rsidR="00EE220B" w:rsidRDefault="00EA6419">
            <w:r>
              <w:t>23</w:t>
            </w:r>
          </w:p>
        </w:tc>
        <w:tc>
          <w:tcPr>
            <w:tcW w:w="7370" w:type="dxa"/>
          </w:tcPr>
          <w:p w14:paraId="4D38DFD7" w14:textId="37567384" w:rsidR="00EE220B" w:rsidRDefault="1343FE16">
            <w:r w:rsidRPr="1343FE16">
              <w:rPr>
                <w:b/>
                <w:bCs/>
              </w:rPr>
              <w:t xml:space="preserve">Presentar </w:t>
            </w:r>
            <w:r w:rsidR="1896C8B5" w:rsidRPr="1343FE16">
              <w:rPr>
                <w:b/>
                <w:bCs/>
              </w:rPr>
              <w:t>registros activos</w:t>
            </w:r>
            <w:r w:rsidRPr="1343FE16">
              <w:rPr>
                <w:b/>
                <w:bCs/>
              </w:rPr>
              <w:t xml:space="preserve"> de información a Comite</w:t>
            </w:r>
            <w:r w:rsidR="00EA6419">
              <w:br/>
            </w:r>
            <w:r>
              <w:t xml:space="preserve">El </w:t>
            </w:r>
            <w:r w:rsidR="61E233C1">
              <w:t>subdirector</w:t>
            </w:r>
            <w:r>
              <w:t xml:space="preserve"> de Tecnologías de la Información, o quien este delegue, presenta ante el Comité Institucional de Gestión y Desempeño los resultados de la actualización de los activos de información y, si aplica, del Registro Nacional de Bases de Datos Personales.</w:t>
            </w:r>
          </w:p>
        </w:tc>
        <w:tc>
          <w:tcPr>
            <w:tcW w:w="1984" w:type="dxa"/>
          </w:tcPr>
          <w:p w14:paraId="790CBC5E" w14:textId="5D03BE0B" w:rsidR="00EE220B" w:rsidRDefault="21724017">
            <w:r>
              <w:t>Subdirector de Tecnologías de la Información</w:t>
            </w:r>
          </w:p>
          <w:p w14:paraId="1140EBEC" w14:textId="7E3832DB" w:rsidR="00EE220B" w:rsidRDefault="00EE220B"/>
        </w:tc>
        <w:tc>
          <w:tcPr>
            <w:tcW w:w="1701" w:type="dxa"/>
          </w:tcPr>
          <w:p w14:paraId="3D52D828" w14:textId="77777777" w:rsidR="00EE220B" w:rsidRDefault="00EA6419">
            <w:r>
              <w:t>Sin definir</w:t>
            </w:r>
          </w:p>
        </w:tc>
        <w:tc>
          <w:tcPr>
            <w:tcW w:w="2268" w:type="dxa"/>
          </w:tcPr>
          <w:p w14:paraId="4DC7DF8C" w14:textId="77777777" w:rsidR="00EE220B" w:rsidRDefault="00EA6419">
            <w:r>
              <w:t>Sin definir</w:t>
            </w:r>
          </w:p>
        </w:tc>
      </w:tr>
      <w:tr w:rsidR="00EE220B" w14:paraId="5FBE9682" w14:textId="77777777" w:rsidTr="1343FE16">
        <w:tc>
          <w:tcPr>
            <w:tcW w:w="426" w:type="dxa"/>
          </w:tcPr>
          <w:p w14:paraId="1D8EB8EE" w14:textId="77777777" w:rsidR="00EE220B" w:rsidRDefault="00EA6419">
            <w:r>
              <w:t>24</w:t>
            </w:r>
          </w:p>
        </w:tc>
        <w:tc>
          <w:tcPr>
            <w:tcW w:w="7370" w:type="dxa"/>
          </w:tcPr>
          <w:p w14:paraId="240085FF" w14:textId="77777777" w:rsidR="00EE220B" w:rsidRDefault="00EA6419">
            <w:r>
              <w:rPr>
                <w:b/>
              </w:rPr>
              <w:t>Compuerta Paralela</w:t>
            </w:r>
          </w:p>
        </w:tc>
        <w:tc>
          <w:tcPr>
            <w:tcW w:w="1984" w:type="dxa"/>
          </w:tcPr>
          <w:p w14:paraId="01108AA5" w14:textId="61D10EF7" w:rsidR="00EE220B" w:rsidRDefault="00EE220B"/>
        </w:tc>
        <w:tc>
          <w:tcPr>
            <w:tcW w:w="1701" w:type="dxa"/>
          </w:tcPr>
          <w:p w14:paraId="49234FEC" w14:textId="77777777" w:rsidR="00EE220B" w:rsidRDefault="00EA6419">
            <w:r>
              <w:t>Sin definir</w:t>
            </w:r>
          </w:p>
        </w:tc>
        <w:tc>
          <w:tcPr>
            <w:tcW w:w="2268" w:type="dxa"/>
          </w:tcPr>
          <w:p w14:paraId="768ED4B5" w14:textId="77777777" w:rsidR="00EE220B" w:rsidRDefault="00EA6419">
            <w:r>
              <w:t>Sin definir</w:t>
            </w:r>
          </w:p>
        </w:tc>
      </w:tr>
      <w:tr w:rsidR="00EE220B" w14:paraId="1F172296" w14:textId="77777777" w:rsidTr="1343FE16">
        <w:tc>
          <w:tcPr>
            <w:tcW w:w="426" w:type="dxa"/>
          </w:tcPr>
          <w:p w14:paraId="4BFDD700" w14:textId="77777777" w:rsidR="00EE220B" w:rsidRDefault="00EA6419">
            <w:r>
              <w:t>25</w:t>
            </w:r>
          </w:p>
        </w:tc>
        <w:tc>
          <w:tcPr>
            <w:tcW w:w="7370" w:type="dxa"/>
          </w:tcPr>
          <w:p w14:paraId="76E8CE81" w14:textId="76CD05E3" w:rsidR="00EE220B" w:rsidRDefault="1343FE16">
            <w:r w:rsidRPr="1343FE16">
              <w:rPr>
                <w:b/>
                <w:bCs/>
              </w:rPr>
              <w:t>Validar activos de información</w:t>
            </w:r>
            <w:r w:rsidR="00EA6419">
              <w:br/>
            </w:r>
            <w:r>
              <w:t>Los integrantes del comité revisan el resultado de la gestión de activos para aprobar o rechazar la gestión de activos de información y, si aplica, del Registro Nacional de Bases de Datos Personales.</w:t>
            </w:r>
          </w:p>
        </w:tc>
        <w:tc>
          <w:tcPr>
            <w:tcW w:w="1984" w:type="dxa"/>
          </w:tcPr>
          <w:p w14:paraId="04D6DAAA" w14:textId="1F90CCE7" w:rsidR="00EE220B" w:rsidRDefault="01868454">
            <w:r>
              <w:t>Comité Institucional de Gestión y Desempeño</w:t>
            </w:r>
          </w:p>
        </w:tc>
        <w:tc>
          <w:tcPr>
            <w:tcW w:w="1701" w:type="dxa"/>
          </w:tcPr>
          <w:p w14:paraId="0194CCC6" w14:textId="77777777" w:rsidR="00EE220B" w:rsidRDefault="00EA6419">
            <w:r>
              <w:t>Trimestralmente.</w:t>
            </w:r>
          </w:p>
        </w:tc>
        <w:tc>
          <w:tcPr>
            <w:tcW w:w="2268" w:type="dxa"/>
          </w:tcPr>
          <w:p w14:paraId="061E4767" w14:textId="77777777" w:rsidR="00EE220B" w:rsidRDefault="00EA6419">
            <w:r>
              <w:t>Acta de comité Institucional de Gestión y Desempeño.</w:t>
            </w:r>
          </w:p>
        </w:tc>
      </w:tr>
      <w:tr w:rsidR="00EE220B" w14:paraId="4CBE8B75" w14:textId="77777777" w:rsidTr="1343FE16">
        <w:tc>
          <w:tcPr>
            <w:tcW w:w="426" w:type="dxa"/>
          </w:tcPr>
          <w:p w14:paraId="36334656" w14:textId="77777777" w:rsidR="00EE220B" w:rsidRDefault="00EA6419">
            <w:r>
              <w:t>26</w:t>
            </w:r>
          </w:p>
        </w:tc>
        <w:tc>
          <w:tcPr>
            <w:tcW w:w="7370" w:type="dxa"/>
          </w:tcPr>
          <w:p w14:paraId="7114325A" w14:textId="77777777" w:rsidR="00EE220B" w:rsidRDefault="1343FE16">
            <w:r w:rsidRPr="1343FE16">
              <w:rPr>
                <w:b/>
                <w:bCs/>
              </w:rPr>
              <w:t>¿Se aprueba?</w:t>
            </w:r>
          </w:p>
          <w:p w14:paraId="5AE8DD31" w14:textId="053FBCDA" w:rsidR="00EE220B" w:rsidRDefault="00EE220B" w:rsidP="1343FE16">
            <w:pPr>
              <w:rPr>
                <w:b/>
                <w:bCs/>
              </w:rPr>
            </w:pPr>
          </w:p>
          <w:p w14:paraId="0F300CA4" w14:textId="2C772D6B" w:rsidR="00EE220B" w:rsidRDefault="5D45ED01" w:rsidP="1343FE16">
            <w:pPr>
              <w:rPr>
                <w:b/>
                <w:bCs/>
              </w:rPr>
            </w:pPr>
            <w:r w:rsidRPr="1343FE16">
              <w:rPr>
                <w:b/>
                <w:bCs/>
              </w:rPr>
              <w:t xml:space="preserve">Si. Pasa a actividad </w:t>
            </w:r>
            <w:r w:rsidR="485761B2" w:rsidRPr="1343FE16">
              <w:rPr>
                <w:b/>
                <w:bCs/>
              </w:rPr>
              <w:t>27</w:t>
            </w:r>
          </w:p>
          <w:p w14:paraId="61258610" w14:textId="149FC465" w:rsidR="00EE220B" w:rsidRDefault="5D45ED01" w:rsidP="1343FE16">
            <w:pPr>
              <w:rPr>
                <w:b/>
                <w:bCs/>
              </w:rPr>
            </w:pPr>
            <w:r w:rsidRPr="1343FE16">
              <w:rPr>
                <w:b/>
                <w:bCs/>
              </w:rPr>
              <w:t>No. Pasa a actividad 8</w:t>
            </w:r>
          </w:p>
          <w:p w14:paraId="2D2921AD" w14:textId="1A13FCE2" w:rsidR="00EE220B" w:rsidRDefault="00EE220B" w:rsidP="1343FE16">
            <w:pPr>
              <w:rPr>
                <w:b/>
                <w:bCs/>
              </w:rPr>
            </w:pPr>
          </w:p>
        </w:tc>
        <w:tc>
          <w:tcPr>
            <w:tcW w:w="1984" w:type="dxa"/>
          </w:tcPr>
          <w:p w14:paraId="72EF4F21" w14:textId="77777777" w:rsidR="00EE220B" w:rsidRDefault="00EA6419">
            <w:r>
              <w:t>Sin definir</w:t>
            </w:r>
          </w:p>
        </w:tc>
        <w:tc>
          <w:tcPr>
            <w:tcW w:w="1701" w:type="dxa"/>
          </w:tcPr>
          <w:p w14:paraId="095ACD53" w14:textId="77777777" w:rsidR="00EE220B" w:rsidRDefault="00EA6419">
            <w:r>
              <w:t>Sin definir</w:t>
            </w:r>
          </w:p>
        </w:tc>
        <w:tc>
          <w:tcPr>
            <w:tcW w:w="2268" w:type="dxa"/>
          </w:tcPr>
          <w:p w14:paraId="2AC2351F" w14:textId="77777777" w:rsidR="00EE220B" w:rsidRDefault="00EA6419">
            <w:r>
              <w:t>Sin definir</w:t>
            </w:r>
          </w:p>
        </w:tc>
      </w:tr>
      <w:tr w:rsidR="00EE220B" w14:paraId="497C88A9" w14:textId="77777777" w:rsidTr="1343FE16">
        <w:tc>
          <w:tcPr>
            <w:tcW w:w="426" w:type="dxa"/>
          </w:tcPr>
          <w:p w14:paraId="41C0AA51" w14:textId="77777777" w:rsidR="00EE220B" w:rsidRDefault="00EA6419">
            <w:r>
              <w:t>27</w:t>
            </w:r>
          </w:p>
        </w:tc>
        <w:tc>
          <w:tcPr>
            <w:tcW w:w="7370" w:type="dxa"/>
          </w:tcPr>
          <w:p w14:paraId="02FA4C97" w14:textId="77777777" w:rsidR="00EE220B" w:rsidRDefault="00EA6419">
            <w:r>
              <w:rPr>
                <w:b/>
              </w:rPr>
              <w:t>Compuerta Paralela</w:t>
            </w:r>
          </w:p>
        </w:tc>
        <w:tc>
          <w:tcPr>
            <w:tcW w:w="1984" w:type="dxa"/>
          </w:tcPr>
          <w:p w14:paraId="4BD68CBA" w14:textId="6D871264" w:rsidR="00EE220B" w:rsidRDefault="00EE220B"/>
        </w:tc>
        <w:tc>
          <w:tcPr>
            <w:tcW w:w="1701" w:type="dxa"/>
          </w:tcPr>
          <w:p w14:paraId="29B88592" w14:textId="77777777" w:rsidR="00EE220B" w:rsidRDefault="00EA6419">
            <w:r>
              <w:t>Sin definir</w:t>
            </w:r>
          </w:p>
        </w:tc>
        <w:tc>
          <w:tcPr>
            <w:tcW w:w="2268" w:type="dxa"/>
          </w:tcPr>
          <w:p w14:paraId="410C3DBC" w14:textId="77777777" w:rsidR="00EE220B" w:rsidRDefault="00EA6419">
            <w:r>
              <w:t>Sin definir</w:t>
            </w:r>
          </w:p>
        </w:tc>
      </w:tr>
      <w:tr w:rsidR="00EE220B" w14:paraId="47B928E3" w14:textId="77777777" w:rsidTr="1343FE16">
        <w:tc>
          <w:tcPr>
            <w:tcW w:w="426" w:type="dxa"/>
          </w:tcPr>
          <w:p w14:paraId="57393B24" w14:textId="77777777" w:rsidR="00EE220B" w:rsidRDefault="00EA6419">
            <w:r>
              <w:t>28</w:t>
            </w:r>
          </w:p>
        </w:tc>
        <w:tc>
          <w:tcPr>
            <w:tcW w:w="7370" w:type="dxa"/>
          </w:tcPr>
          <w:p w14:paraId="27319018" w14:textId="77777777" w:rsidR="00EE220B" w:rsidRDefault="1343FE16">
            <w:r w:rsidRPr="1343FE16">
              <w:rPr>
                <w:b/>
                <w:bCs/>
              </w:rPr>
              <w:t>Solicitar la publicación de instrumentos de gestión de información pública</w:t>
            </w:r>
            <w:r w:rsidR="00EA6419">
              <w:br/>
            </w:r>
            <w:r>
              <w:t xml:space="preserve">El Coordinador de Seguridad Digital o el Subdirector solicita, por medio de correo electrónico o memorando dirigido a la Oficina Asesora de Planeación, la publicación de los instrumentos de gestión de información pública (Registro de </w:t>
            </w:r>
            <w:r>
              <w:lastRenderedPageBreak/>
              <w:t>Activos de Información e Índice de Información Clasificada y Reservada) que hayan sido aprobados por el comité correspondiente.</w:t>
            </w:r>
            <w:r w:rsidR="00EA6419">
              <w:br/>
            </w:r>
            <w:r>
              <w:t>Asimismo, mediante el formato de Radicación de solicitudes a la Dirección de Innovación y Desarrollo (DIFT33), solicita la publicación de los activos de información en el portal de datos abiertos para la respectiva gestión de la Subdirección de Analítica.</w:t>
            </w:r>
          </w:p>
        </w:tc>
        <w:tc>
          <w:tcPr>
            <w:tcW w:w="1984" w:type="dxa"/>
          </w:tcPr>
          <w:p w14:paraId="2D5FB1CF" w14:textId="56512579" w:rsidR="00EE220B" w:rsidRDefault="3F6358FD">
            <w:r>
              <w:lastRenderedPageBreak/>
              <w:t>Profesional asignado de la subdirección de Tecnologías de la Información</w:t>
            </w:r>
          </w:p>
          <w:p w14:paraId="625FD170" w14:textId="1B476AC4" w:rsidR="00EE220B" w:rsidRDefault="00EE220B"/>
        </w:tc>
        <w:tc>
          <w:tcPr>
            <w:tcW w:w="1701" w:type="dxa"/>
          </w:tcPr>
          <w:p w14:paraId="6F7A0269" w14:textId="77777777" w:rsidR="00EE220B" w:rsidRDefault="00EA6419">
            <w:r>
              <w:lastRenderedPageBreak/>
              <w:t>Sin definir</w:t>
            </w:r>
          </w:p>
        </w:tc>
        <w:tc>
          <w:tcPr>
            <w:tcW w:w="2268" w:type="dxa"/>
          </w:tcPr>
          <w:p w14:paraId="1FA9F680" w14:textId="4C9CD215" w:rsidR="00EE220B" w:rsidRDefault="0523BDF5">
            <w:r>
              <w:t>Registro de activos de información</w:t>
            </w:r>
          </w:p>
          <w:p w14:paraId="16B7998F" w14:textId="7C6FAD9C" w:rsidR="00EE220B" w:rsidRDefault="00EE220B"/>
          <w:p w14:paraId="6FBCACD7" w14:textId="4622499F" w:rsidR="00EE220B" w:rsidRDefault="0523BDF5">
            <w:r>
              <w:lastRenderedPageBreak/>
              <w:t>Índice de Información Clasificada</w:t>
            </w:r>
          </w:p>
          <w:p w14:paraId="3254E9E5" w14:textId="34063776" w:rsidR="00EE220B" w:rsidRDefault="00EE220B"/>
          <w:p w14:paraId="70D77BCE" w14:textId="0BFE7019" w:rsidR="00EE220B" w:rsidRDefault="0523BDF5">
            <w:r>
              <w:t>DIFT33 Radicación de solicitudes de la Dirección de Innovación y Desarrollo</w:t>
            </w:r>
          </w:p>
        </w:tc>
      </w:tr>
      <w:tr w:rsidR="00EE220B" w14:paraId="5E2CCB57" w14:textId="77777777" w:rsidTr="1343FE16">
        <w:tc>
          <w:tcPr>
            <w:tcW w:w="426" w:type="dxa"/>
          </w:tcPr>
          <w:p w14:paraId="4B34824B" w14:textId="77777777" w:rsidR="00EE220B" w:rsidRDefault="00EA6419">
            <w:r>
              <w:lastRenderedPageBreak/>
              <w:t>29</w:t>
            </w:r>
          </w:p>
        </w:tc>
        <w:tc>
          <w:tcPr>
            <w:tcW w:w="7370" w:type="dxa"/>
          </w:tcPr>
          <w:p w14:paraId="2E6A71AA" w14:textId="77777777" w:rsidR="00EE220B" w:rsidRDefault="00EA6419">
            <w:r>
              <w:rPr>
                <w:b/>
              </w:rPr>
              <w:t>Compuerta Paralela</w:t>
            </w:r>
          </w:p>
        </w:tc>
        <w:tc>
          <w:tcPr>
            <w:tcW w:w="1984" w:type="dxa"/>
          </w:tcPr>
          <w:p w14:paraId="66506FE3" w14:textId="77777777" w:rsidR="00EE220B" w:rsidRDefault="00EA6419">
            <w:r>
              <w:t>Sin definir</w:t>
            </w:r>
          </w:p>
        </w:tc>
        <w:tc>
          <w:tcPr>
            <w:tcW w:w="1701" w:type="dxa"/>
          </w:tcPr>
          <w:p w14:paraId="44DC0DF0" w14:textId="77777777" w:rsidR="00EE220B" w:rsidRDefault="00EA6419">
            <w:r>
              <w:t>Sin definir</w:t>
            </w:r>
          </w:p>
        </w:tc>
        <w:tc>
          <w:tcPr>
            <w:tcW w:w="2268" w:type="dxa"/>
          </w:tcPr>
          <w:p w14:paraId="64A716B4" w14:textId="77777777" w:rsidR="00EE220B" w:rsidRDefault="00EA6419">
            <w:r>
              <w:t>Sin definir</w:t>
            </w:r>
          </w:p>
        </w:tc>
      </w:tr>
      <w:tr w:rsidR="00EE220B" w14:paraId="32CD21B7" w14:textId="77777777" w:rsidTr="1343FE16">
        <w:tc>
          <w:tcPr>
            <w:tcW w:w="426" w:type="dxa"/>
          </w:tcPr>
          <w:p w14:paraId="219897CE" w14:textId="77777777" w:rsidR="00EE220B" w:rsidRDefault="00EA6419">
            <w:r>
              <w:t>30</w:t>
            </w:r>
          </w:p>
        </w:tc>
        <w:tc>
          <w:tcPr>
            <w:tcW w:w="7370" w:type="dxa"/>
          </w:tcPr>
          <w:p w14:paraId="02FD768C" w14:textId="5A00F0C7" w:rsidR="00EE220B" w:rsidRDefault="1343FE16">
            <w:r w:rsidRPr="1343FE16">
              <w:rPr>
                <w:b/>
                <w:bCs/>
              </w:rPr>
              <w:t>Publicar instrumentos de gestión de información pública</w:t>
            </w:r>
            <w:r w:rsidR="00EA6419">
              <w:br/>
            </w:r>
            <w:r>
              <w:t xml:space="preserve">El profesional </w:t>
            </w:r>
            <w:r w:rsidR="1F6942BE">
              <w:t>asignado</w:t>
            </w:r>
            <w:r>
              <w:t xml:space="preserve"> de la Oficina Asesora de Planeación (OAP) publica los instrumentos de activos de información aprobados por el comité respectivo en la página de transparencia del sitio web de la entidad.</w:t>
            </w:r>
          </w:p>
        </w:tc>
        <w:tc>
          <w:tcPr>
            <w:tcW w:w="1984" w:type="dxa"/>
          </w:tcPr>
          <w:p w14:paraId="7013E9F0" w14:textId="37E81C73" w:rsidR="00EE220B" w:rsidRDefault="5226B491">
            <w:r>
              <w:t>Profesional asignado de la Oficina Asesora de Planeación</w:t>
            </w:r>
          </w:p>
          <w:p w14:paraId="6508C857" w14:textId="0A672308" w:rsidR="00EE220B" w:rsidRDefault="00EE220B"/>
        </w:tc>
        <w:tc>
          <w:tcPr>
            <w:tcW w:w="1701" w:type="dxa"/>
          </w:tcPr>
          <w:p w14:paraId="7ACABE34" w14:textId="77777777" w:rsidR="00EE220B" w:rsidRDefault="00EA6419">
            <w:r>
              <w:t>Sin definir</w:t>
            </w:r>
          </w:p>
        </w:tc>
        <w:tc>
          <w:tcPr>
            <w:tcW w:w="2268" w:type="dxa"/>
          </w:tcPr>
          <w:p w14:paraId="113283AA" w14:textId="77777777" w:rsidR="00EE220B" w:rsidRDefault="00EA6419">
            <w:r>
              <w:t>Sin definir</w:t>
            </w:r>
          </w:p>
        </w:tc>
      </w:tr>
      <w:tr w:rsidR="00EE220B" w14:paraId="3C4BE0EA" w14:textId="77777777" w:rsidTr="1343FE16">
        <w:tc>
          <w:tcPr>
            <w:tcW w:w="426" w:type="dxa"/>
          </w:tcPr>
          <w:p w14:paraId="2C8B330C" w14:textId="77777777" w:rsidR="00EE220B" w:rsidRDefault="00EA6419">
            <w:r>
              <w:t>31</w:t>
            </w:r>
          </w:p>
        </w:tc>
        <w:tc>
          <w:tcPr>
            <w:tcW w:w="7370" w:type="dxa"/>
          </w:tcPr>
          <w:p w14:paraId="5AE841B1" w14:textId="77777777" w:rsidR="00EE220B" w:rsidRDefault="00EA6419">
            <w:r>
              <w:rPr>
                <w:b/>
              </w:rPr>
              <w:t>Gestionar analítica de datos e información</w:t>
            </w:r>
            <w:r>
              <w:br/>
              <w:t>Se conecta con la actividad clave de éxito- procedimiento: Gestionar analítica de datos e información.</w:t>
            </w:r>
          </w:p>
        </w:tc>
        <w:tc>
          <w:tcPr>
            <w:tcW w:w="1984" w:type="dxa"/>
          </w:tcPr>
          <w:p w14:paraId="0B03BD64" w14:textId="77777777" w:rsidR="00EE220B" w:rsidRDefault="00EA6419">
            <w:r>
              <w:t>Sin definir</w:t>
            </w:r>
          </w:p>
        </w:tc>
        <w:tc>
          <w:tcPr>
            <w:tcW w:w="1701" w:type="dxa"/>
          </w:tcPr>
          <w:p w14:paraId="457EDF21" w14:textId="77777777" w:rsidR="00EE220B" w:rsidRDefault="00EA6419">
            <w:r>
              <w:t>Sin definir</w:t>
            </w:r>
          </w:p>
        </w:tc>
        <w:tc>
          <w:tcPr>
            <w:tcW w:w="2268" w:type="dxa"/>
          </w:tcPr>
          <w:p w14:paraId="43F36C68" w14:textId="77777777" w:rsidR="00EE220B" w:rsidRDefault="00EA6419">
            <w:r>
              <w:t>Sin definir</w:t>
            </w:r>
          </w:p>
        </w:tc>
      </w:tr>
      <w:tr w:rsidR="00EE220B" w14:paraId="2D06E6DC" w14:textId="77777777" w:rsidTr="1343FE16">
        <w:tc>
          <w:tcPr>
            <w:tcW w:w="426" w:type="dxa"/>
          </w:tcPr>
          <w:p w14:paraId="434292C4" w14:textId="77777777" w:rsidR="00EE220B" w:rsidRDefault="00EA6419">
            <w:r>
              <w:t>32</w:t>
            </w:r>
          </w:p>
        </w:tc>
        <w:tc>
          <w:tcPr>
            <w:tcW w:w="7370" w:type="dxa"/>
          </w:tcPr>
          <w:p w14:paraId="7D25965D" w14:textId="77777777" w:rsidR="00EE220B" w:rsidRDefault="1343FE16">
            <w:r w:rsidRPr="1343FE16">
              <w:rPr>
                <w:b/>
                <w:bCs/>
              </w:rPr>
              <w:t>Reportar la información en el registro Nacional de bases de datos</w:t>
            </w:r>
            <w:r w:rsidR="00EA6419">
              <w:br/>
            </w:r>
            <w:r>
              <w:t>El gestor asignado reporta los activos de información aprobados que contienen datos personales ante la Superintendencia de Industria y Comercio (SIC), conforme a los lineamientos establecidos por la Subdirección de Tecnologías de la Información._x000d_</w:t>
            </w:r>
            <w:r w:rsidR="00EA6419">
              <w:br/>
            </w:r>
            <w:r>
              <w:t>Para esta actividad, se utiliza como insumo la plantilla denominada “Herramienta de recolección de información - Registro Nacional de Bases de Datos (RNBD)” revisada previamente por la Subdirección de Tecnologías de la información.</w:t>
            </w:r>
          </w:p>
          <w:p w14:paraId="006309D6" w14:textId="6AB61204" w:rsidR="00EE220B" w:rsidRDefault="00EA6419">
            <w:r>
              <w:br/>
            </w:r>
            <w:r w:rsidR="1343FE16">
              <w:t xml:space="preserve">En caso de que la dependencia no cuente con usuario y contraseña para acceder al aplicativo de la SIC, deberá enviar una solicitud por correo electrónico al </w:t>
            </w:r>
            <w:r w:rsidR="1343FE16">
              <w:lastRenderedPageBreak/>
              <w:t>coordinador del Grupo de Seguridad Digital de la Subdirección de Tecnologías de la información, solicitando las credenciales necesarias para efectuar el reporte.</w:t>
            </w:r>
          </w:p>
          <w:p w14:paraId="0F25758B" w14:textId="77777777" w:rsidR="00EE220B" w:rsidRDefault="00EA6419">
            <w:r>
              <w:br/>
            </w:r>
            <w:r w:rsidR="1343FE16">
              <w:t>Es obligatorio reportar los activos de información que contienen datos personales ante la SIC a más tardar el 31 de marzo de cada vigencia. No obstante, si durante el año se requiere agregar, actualizar o eliminar información, el sistema permite realizar el respectivo reporte en cualquier momento.</w:t>
            </w:r>
          </w:p>
        </w:tc>
        <w:tc>
          <w:tcPr>
            <w:tcW w:w="1984" w:type="dxa"/>
          </w:tcPr>
          <w:p w14:paraId="652BC389" w14:textId="2BAA87AE" w:rsidR="00EE220B" w:rsidRDefault="301F773D">
            <w:r>
              <w:lastRenderedPageBreak/>
              <w:t xml:space="preserve">Todas las dependencias </w:t>
            </w:r>
          </w:p>
        </w:tc>
        <w:tc>
          <w:tcPr>
            <w:tcW w:w="1701" w:type="dxa"/>
          </w:tcPr>
          <w:p w14:paraId="3EED0C41" w14:textId="77777777" w:rsidR="00EE220B" w:rsidRDefault="00EA6419">
            <w:r>
              <w:t>Sin definir</w:t>
            </w:r>
          </w:p>
        </w:tc>
        <w:tc>
          <w:tcPr>
            <w:tcW w:w="2268" w:type="dxa"/>
          </w:tcPr>
          <w:p w14:paraId="223057B7" w14:textId="77777777" w:rsidR="00EE220B" w:rsidRDefault="00EA6419">
            <w:r>
              <w:t>Sin definir</w:t>
            </w:r>
          </w:p>
        </w:tc>
      </w:tr>
      <w:tr w:rsidR="00EE220B" w14:paraId="6C584340" w14:textId="77777777" w:rsidTr="1343FE16">
        <w:tc>
          <w:tcPr>
            <w:tcW w:w="426" w:type="dxa"/>
          </w:tcPr>
          <w:p w14:paraId="7CE58F48" w14:textId="77777777" w:rsidR="00EE220B" w:rsidRDefault="00EA6419">
            <w:r>
              <w:t>33</w:t>
            </w:r>
          </w:p>
        </w:tc>
        <w:tc>
          <w:tcPr>
            <w:tcW w:w="7370" w:type="dxa"/>
          </w:tcPr>
          <w:p w14:paraId="0914C918" w14:textId="77777777" w:rsidR="00EE220B" w:rsidRDefault="1343FE16">
            <w:r w:rsidRPr="1343FE16">
              <w:rPr>
                <w:b/>
                <w:bCs/>
              </w:rPr>
              <w:t>3</w:t>
            </w:r>
            <w:r w:rsidR="00EA6419">
              <w:br/>
            </w:r>
            <w:r>
              <w:t xml:space="preserve">Se conecta con la actividad: </w:t>
            </w:r>
            <w:r w:rsidRPr="1343FE16">
              <w:rPr>
                <w:b/>
                <w:bCs/>
              </w:rPr>
              <w:t>Cerrar cargue de registro nacional de base de datos personales.</w:t>
            </w:r>
          </w:p>
        </w:tc>
        <w:tc>
          <w:tcPr>
            <w:tcW w:w="1984" w:type="dxa"/>
          </w:tcPr>
          <w:p w14:paraId="21061572" w14:textId="723D1D76" w:rsidR="00EE220B" w:rsidRDefault="00EE220B"/>
        </w:tc>
        <w:tc>
          <w:tcPr>
            <w:tcW w:w="1701" w:type="dxa"/>
          </w:tcPr>
          <w:p w14:paraId="221FB4BF" w14:textId="77777777" w:rsidR="00EE220B" w:rsidRDefault="00EA6419">
            <w:r>
              <w:t>Sin definir</w:t>
            </w:r>
          </w:p>
        </w:tc>
        <w:tc>
          <w:tcPr>
            <w:tcW w:w="2268" w:type="dxa"/>
          </w:tcPr>
          <w:p w14:paraId="7BEA5400" w14:textId="77777777" w:rsidR="00EE220B" w:rsidRDefault="00EA6419">
            <w:r>
              <w:t>Sin definir</w:t>
            </w:r>
          </w:p>
        </w:tc>
      </w:tr>
      <w:tr w:rsidR="00EE220B" w14:paraId="4F41771C" w14:textId="77777777" w:rsidTr="1343FE16">
        <w:tc>
          <w:tcPr>
            <w:tcW w:w="426" w:type="dxa"/>
          </w:tcPr>
          <w:p w14:paraId="3848D7E0" w14:textId="77777777" w:rsidR="00EE220B" w:rsidRDefault="00EA6419">
            <w:r>
              <w:t>34</w:t>
            </w:r>
          </w:p>
        </w:tc>
        <w:tc>
          <w:tcPr>
            <w:tcW w:w="7370" w:type="dxa"/>
          </w:tcPr>
          <w:p w14:paraId="75670E8B" w14:textId="77777777" w:rsidR="00EE220B" w:rsidRDefault="00EA6419">
            <w:r>
              <w:rPr>
                <w:b/>
              </w:rPr>
              <w:t>Actualizar riesgos de seguridad de la información</w:t>
            </w:r>
            <w:r>
              <w:br/>
              <w:t>El profesional asignado de la Subdirección de Tecnologías de la Información inicia la gestión de la actualización de riesgos de seguridad de la información de acuerdo con los lineamientos establecidos en el proceso de Direccionamiento Estratégico.</w:t>
            </w:r>
          </w:p>
        </w:tc>
        <w:tc>
          <w:tcPr>
            <w:tcW w:w="1984" w:type="dxa"/>
          </w:tcPr>
          <w:p w14:paraId="308EC0D1" w14:textId="77777777" w:rsidR="00EE220B" w:rsidRDefault="00EA6419">
            <w:r>
              <w:t>Sin definir</w:t>
            </w:r>
          </w:p>
        </w:tc>
        <w:tc>
          <w:tcPr>
            <w:tcW w:w="1701" w:type="dxa"/>
          </w:tcPr>
          <w:p w14:paraId="78A5A0EE" w14:textId="77777777" w:rsidR="00EE220B" w:rsidRDefault="00EA6419">
            <w:r>
              <w:t>Sin definir</w:t>
            </w:r>
          </w:p>
        </w:tc>
        <w:tc>
          <w:tcPr>
            <w:tcW w:w="2268" w:type="dxa"/>
          </w:tcPr>
          <w:p w14:paraId="38363CEB" w14:textId="77777777" w:rsidR="00EE220B" w:rsidRDefault="00EA6419">
            <w:r>
              <w:t>Sin definir</w:t>
            </w:r>
          </w:p>
        </w:tc>
      </w:tr>
      <w:tr w:rsidR="00EE220B" w14:paraId="7D3B58D4" w14:textId="77777777" w:rsidTr="1343FE16">
        <w:tc>
          <w:tcPr>
            <w:tcW w:w="426" w:type="dxa"/>
          </w:tcPr>
          <w:p w14:paraId="3D5C510C" w14:textId="77777777" w:rsidR="00EE220B" w:rsidRDefault="00EA6419">
            <w:r>
              <w:t>35</w:t>
            </w:r>
          </w:p>
        </w:tc>
        <w:tc>
          <w:tcPr>
            <w:tcW w:w="7370" w:type="dxa"/>
          </w:tcPr>
          <w:p w14:paraId="295B76B0" w14:textId="77777777" w:rsidR="00EE220B" w:rsidRDefault="00EA6419">
            <w:r>
              <w:rPr>
                <w:b/>
              </w:rPr>
              <w:t>Proceso Direccionamiento estratégico</w:t>
            </w:r>
            <w:r>
              <w:br/>
              <w:t>Se conecta con la actividad clave de éxito (procedimiento): "Gestionar Riesgos"</w:t>
            </w:r>
          </w:p>
        </w:tc>
        <w:tc>
          <w:tcPr>
            <w:tcW w:w="1984" w:type="dxa"/>
          </w:tcPr>
          <w:p w14:paraId="74B3D247" w14:textId="08D9A1EE" w:rsidR="00EE220B" w:rsidRDefault="77728C37">
            <w:r>
              <w:t>Oficina Asesora de Planeación</w:t>
            </w:r>
          </w:p>
        </w:tc>
        <w:tc>
          <w:tcPr>
            <w:tcW w:w="1701" w:type="dxa"/>
          </w:tcPr>
          <w:p w14:paraId="2161B2F0" w14:textId="77777777" w:rsidR="00EE220B" w:rsidRDefault="00EA6419">
            <w:r>
              <w:t>Sin definir</w:t>
            </w:r>
          </w:p>
        </w:tc>
        <w:tc>
          <w:tcPr>
            <w:tcW w:w="2268" w:type="dxa"/>
          </w:tcPr>
          <w:p w14:paraId="5612C843" w14:textId="77777777" w:rsidR="00EE220B" w:rsidRDefault="00EA6419">
            <w:r>
              <w:t>Sin definir</w:t>
            </w:r>
          </w:p>
        </w:tc>
      </w:tr>
      <w:tr w:rsidR="00EE220B" w14:paraId="08A51E0A" w14:textId="77777777" w:rsidTr="1343FE16">
        <w:tc>
          <w:tcPr>
            <w:tcW w:w="426" w:type="dxa"/>
          </w:tcPr>
          <w:p w14:paraId="5AFB958C" w14:textId="77777777" w:rsidR="00EE220B" w:rsidRDefault="00EA6419">
            <w:r>
              <w:t>36</w:t>
            </w:r>
          </w:p>
        </w:tc>
        <w:tc>
          <w:tcPr>
            <w:tcW w:w="7370" w:type="dxa"/>
          </w:tcPr>
          <w:p w14:paraId="2151770C" w14:textId="77777777" w:rsidR="00EE220B" w:rsidRDefault="00EA6419">
            <w:r>
              <w:rPr>
                <w:b/>
              </w:rPr>
              <w:t>Fin.</w:t>
            </w:r>
          </w:p>
        </w:tc>
        <w:tc>
          <w:tcPr>
            <w:tcW w:w="1984" w:type="dxa"/>
          </w:tcPr>
          <w:p w14:paraId="652B5198" w14:textId="77777777" w:rsidR="00EE220B" w:rsidRDefault="00EA6419">
            <w:r>
              <w:t>Sin definir</w:t>
            </w:r>
          </w:p>
        </w:tc>
        <w:tc>
          <w:tcPr>
            <w:tcW w:w="1701" w:type="dxa"/>
          </w:tcPr>
          <w:p w14:paraId="4BC9C51F" w14:textId="77777777" w:rsidR="00EE220B" w:rsidRDefault="00EA6419">
            <w:r>
              <w:t>Sin definir</w:t>
            </w:r>
          </w:p>
        </w:tc>
        <w:tc>
          <w:tcPr>
            <w:tcW w:w="2268" w:type="dxa"/>
          </w:tcPr>
          <w:p w14:paraId="076563D3" w14:textId="77777777" w:rsidR="00EE220B" w:rsidRDefault="00EA6419">
            <w:r>
              <w:t>Sin definir</w:t>
            </w:r>
          </w:p>
        </w:tc>
      </w:tr>
      <w:tr w:rsidR="00EE220B" w14:paraId="439C7EDA" w14:textId="77777777" w:rsidTr="1343FE16">
        <w:tc>
          <w:tcPr>
            <w:tcW w:w="426" w:type="dxa"/>
          </w:tcPr>
          <w:p w14:paraId="0903FD93" w14:textId="77777777" w:rsidR="00EE220B" w:rsidRDefault="00EA6419">
            <w:r>
              <w:t>37</w:t>
            </w:r>
          </w:p>
        </w:tc>
        <w:tc>
          <w:tcPr>
            <w:tcW w:w="7370" w:type="dxa"/>
          </w:tcPr>
          <w:p w14:paraId="00BCC2F2" w14:textId="15F7E3FB" w:rsidR="00EE220B" w:rsidRDefault="1343FE16">
            <w:r w:rsidRPr="1343FE16">
              <w:rPr>
                <w:b/>
                <w:bCs/>
              </w:rPr>
              <w:t>1</w:t>
            </w:r>
            <w:r w:rsidR="00EA6419">
              <w:br/>
            </w:r>
            <w:r>
              <w:t>Se conecta con la actividad: Identificar, clasificar y etiquetar activos.</w:t>
            </w:r>
          </w:p>
        </w:tc>
        <w:tc>
          <w:tcPr>
            <w:tcW w:w="1984" w:type="dxa"/>
          </w:tcPr>
          <w:p w14:paraId="6256442A" w14:textId="77777777" w:rsidR="00EE220B" w:rsidRDefault="00EA6419">
            <w:r>
              <w:t>Sin definir</w:t>
            </w:r>
          </w:p>
        </w:tc>
        <w:tc>
          <w:tcPr>
            <w:tcW w:w="1701" w:type="dxa"/>
          </w:tcPr>
          <w:p w14:paraId="79381B27" w14:textId="77777777" w:rsidR="00EE220B" w:rsidRDefault="00EA6419">
            <w:r>
              <w:t>Sin definir</w:t>
            </w:r>
          </w:p>
        </w:tc>
        <w:tc>
          <w:tcPr>
            <w:tcW w:w="2268" w:type="dxa"/>
          </w:tcPr>
          <w:p w14:paraId="373E3C8E" w14:textId="77777777" w:rsidR="00EE220B" w:rsidRDefault="00EA6419">
            <w:r>
              <w:t>Sin definir</w:t>
            </w:r>
          </w:p>
        </w:tc>
      </w:tr>
      <w:tr w:rsidR="00EE220B" w14:paraId="2BE9A171" w14:textId="77777777" w:rsidTr="1343FE16">
        <w:tc>
          <w:tcPr>
            <w:tcW w:w="426" w:type="dxa"/>
          </w:tcPr>
          <w:p w14:paraId="0CD124DB" w14:textId="77777777" w:rsidR="00EE220B" w:rsidRDefault="00EA6419">
            <w:r>
              <w:t>38</w:t>
            </w:r>
          </w:p>
        </w:tc>
        <w:tc>
          <w:tcPr>
            <w:tcW w:w="7370" w:type="dxa"/>
          </w:tcPr>
          <w:p w14:paraId="684281A4" w14:textId="77777777" w:rsidR="00EE220B" w:rsidRDefault="00EA6419">
            <w:r>
              <w:rPr>
                <w:b/>
              </w:rPr>
              <w:t>1</w:t>
            </w:r>
            <w:r>
              <w:br/>
              <w:t>Se conecta con la actividad: Identificar, clasificar y etiquetar activos.</w:t>
            </w:r>
          </w:p>
        </w:tc>
        <w:tc>
          <w:tcPr>
            <w:tcW w:w="1984" w:type="dxa"/>
          </w:tcPr>
          <w:p w14:paraId="5CDB5DB5" w14:textId="77777777" w:rsidR="00EE220B" w:rsidRDefault="00EA6419">
            <w:r>
              <w:t>Sin definir</w:t>
            </w:r>
          </w:p>
        </w:tc>
        <w:tc>
          <w:tcPr>
            <w:tcW w:w="1701" w:type="dxa"/>
          </w:tcPr>
          <w:p w14:paraId="7A7AD4CB" w14:textId="77777777" w:rsidR="00EE220B" w:rsidRDefault="00EA6419">
            <w:r>
              <w:t>Sin definir</w:t>
            </w:r>
          </w:p>
        </w:tc>
        <w:tc>
          <w:tcPr>
            <w:tcW w:w="2268" w:type="dxa"/>
          </w:tcPr>
          <w:p w14:paraId="58DCA0ED" w14:textId="77777777" w:rsidR="00EE220B" w:rsidRDefault="00EA6419">
            <w:r>
              <w:t>Sin definir</w:t>
            </w:r>
          </w:p>
        </w:tc>
      </w:tr>
      <w:tr w:rsidR="00EE220B" w14:paraId="014076F1" w14:textId="77777777" w:rsidTr="1343FE16">
        <w:tc>
          <w:tcPr>
            <w:tcW w:w="426" w:type="dxa"/>
          </w:tcPr>
          <w:p w14:paraId="61A51A77" w14:textId="77777777" w:rsidR="00EE220B" w:rsidRDefault="00EA6419">
            <w:r>
              <w:t>39</w:t>
            </w:r>
          </w:p>
        </w:tc>
        <w:tc>
          <w:tcPr>
            <w:tcW w:w="7370" w:type="dxa"/>
          </w:tcPr>
          <w:p w14:paraId="3615A767" w14:textId="77777777" w:rsidR="00EE220B" w:rsidRDefault="00EA6419">
            <w:r>
              <w:rPr>
                <w:b/>
              </w:rPr>
              <w:t>1</w:t>
            </w:r>
            <w:r>
              <w:br/>
              <w:t>Se conecta con la actividad: Identificar, clasificar y etiquetar activos.</w:t>
            </w:r>
          </w:p>
        </w:tc>
        <w:tc>
          <w:tcPr>
            <w:tcW w:w="1984" w:type="dxa"/>
          </w:tcPr>
          <w:p w14:paraId="1DA485CD" w14:textId="77777777" w:rsidR="00EE220B" w:rsidRDefault="00EA6419">
            <w:r>
              <w:t>Sin definir</w:t>
            </w:r>
          </w:p>
        </w:tc>
        <w:tc>
          <w:tcPr>
            <w:tcW w:w="1701" w:type="dxa"/>
          </w:tcPr>
          <w:p w14:paraId="08D26F33" w14:textId="77777777" w:rsidR="00EE220B" w:rsidRDefault="00EA6419">
            <w:r>
              <w:t>Sin definir</w:t>
            </w:r>
          </w:p>
        </w:tc>
        <w:tc>
          <w:tcPr>
            <w:tcW w:w="2268" w:type="dxa"/>
          </w:tcPr>
          <w:p w14:paraId="29DFEAD9" w14:textId="77777777" w:rsidR="00EE220B" w:rsidRDefault="00EA6419">
            <w:r>
              <w:t>Sin definir</w:t>
            </w:r>
          </w:p>
        </w:tc>
      </w:tr>
      <w:tr w:rsidR="00EE220B" w14:paraId="6F85589C" w14:textId="77777777" w:rsidTr="1343FE16">
        <w:tc>
          <w:tcPr>
            <w:tcW w:w="426" w:type="dxa"/>
            <w:shd w:val="clear" w:color="auto" w:fill="FFC000" w:themeFill="accent4"/>
          </w:tcPr>
          <w:p w14:paraId="704A35C2" w14:textId="77777777" w:rsidR="00EE220B" w:rsidRDefault="00EA6419">
            <w:r>
              <w:lastRenderedPageBreak/>
              <w:t>40</w:t>
            </w:r>
          </w:p>
        </w:tc>
        <w:tc>
          <w:tcPr>
            <w:tcW w:w="7370" w:type="dxa"/>
          </w:tcPr>
          <w:p w14:paraId="5C3FD1CF" w14:textId="2C11FD67" w:rsidR="00EE220B" w:rsidRDefault="1343FE16">
            <w:r w:rsidRPr="1343FE16">
              <w:rPr>
                <w:b/>
                <w:bCs/>
              </w:rPr>
              <w:t>Revisar herramienta recolección de información Registro Nacional Base de Datos - RNBD</w:t>
            </w:r>
            <w:r w:rsidR="00EA6419">
              <w:br/>
            </w:r>
            <w:r>
              <w:t>El profesional asignado verifica el correcto diligenciamiento de la herramienta "Recolección de Información para el Registro Nacional de Bases de Datos (RNBD)" y, de ser necesario, realiza mesas de acompañamiento con las dependencias correspondientes.</w:t>
            </w:r>
            <w:r w:rsidR="00EA6419">
              <w:br/>
            </w:r>
            <w:r>
              <w:t>Si se identifican ajustes, el profesional los enviará por correo electrónico a la dependencia respectiva. En caso de que el registro cumpla con los requisitos, lo remitirá al Coordinador de Seguridad Digital para su socialización en el Comité Institucional de Gestión y Desempeño.</w:t>
            </w:r>
          </w:p>
        </w:tc>
        <w:tc>
          <w:tcPr>
            <w:tcW w:w="1984" w:type="dxa"/>
          </w:tcPr>
          <w:p w14:paraId="7A3C217F" w14:textId="07681749" w:rsidR="00EE220B" w:rsidRDefault="27FC6AE1" w:rsidP="1343FE16">
            <w:r>
              <w:t>Identificar, clasificar y etiquetar activos.</w:t>
            </w:r>
          </w:p>
        </w:tc>
        <w:tc>
          <w:tcPr>
            <w:tcW w:w="1701" w:type="dxa"/>
          </w:tcPr>
          <w:p w14:paraId="274E281B" w14:textId="2D2543D6" w:rsidR="00EE220B" w:rsidRDefault="1343FE16">
            <w:r>
              <w:t>Trimestralmente.</w:t>
            </w:r>
          </w:p>
        </w:tc>
        <w:tc>
          <w:tcPr>
            <w:tcW w:w="2268" w:type="dxa"/>
          </w:tcPr>
          <w:p w14:paraId="43F6B051" w14:textId="56B22CDF" w:rsidR="00EE220B" w:rsidRDefault="1343FE16">
            <w:r>
              <w:t xml:space="preserve">Correo electrónico resultado de las mesas de trabajo. </w:t>
            </w:r>
          </w:p>
        </w:tc>
      </w:tr>
      <w:tr w:rsidR="00EE220B" w14:paraId="022F4A64" w14:textId="77777777" w:rsidTr="1343FE16">
        <w:tc>
          <w:tcPr>
            <w:tcW w:w="426" w:type="dxa"/>
          </w:tcPr>
          <w:p w14:paraId="245D991A" w14:textId="77777777" w:rsidR="00EE220B" w:rsidRDefault="00EA6419">
            <w:r>
              <w:t>41</w:t>
            </w:r>
          </w:p>
        </w:tc>
        <w:tc>
          <w:tcPr>
            <w:tcW w:w="7370" w:type="dxa"/>
          </w:tcPr>
          <w:p w14:paraId="4A3F2D42" w14:textId="70650F4F" w:rsidR="00EE220B" w:rsidRDefault="1343FE16">
            <w:r w:rsidRPr="1343FE16">
              <w:rPr>
                <w:b/>
                <w:bCs/>
              </w:rPr>
              <w:t>Informar la eliminación de activos de información</w:t>
            </w:r>
            <w:r w:rsidR="00EA6419">
              <w:br/>
            </w:r>
            <w:r>
              <w:t>El gestor de la dependencia identifica la necesidad de eliminar activos de información cuando estos:</w:t>
            </w:r>
            <w:r w:rsidR="00EA6419">
              <w:br/>
            </w:r>
            <w:r>
              <w:t>· Han cumplido su tiempo de retención según las tablas de retención documental.</w:t>
            </w:r>
            <w:r w:rsidR="00EA6419">
              <w:br/>
            </w:r>
            <w:r>
              <w:t>· Han perdido valor para la organización o ya no son útiles.</w:t>
            </w:r>
            <w:r w:rsidR="00EA6419">
              <w:br/>
            </w:r>
            <w:r>
              <w:t>· Se encuentran duplicados en otros sistemas o repositorios.</w:t>
            </w:r>
            <w:r w:rsidR="00EA6419">
              <w:br/>
            </w:r>
            <w:r>
              <w:t>· Han quedado obsoletos tecnológicamente. _</w:t>
            </w:r>
          </w:p>
          <w:p w14:paraId="7104EA15" w14:textId="2F6139D0" w:rsidR="00EE220B" w:rsidRDefault="1343FE16">
            <w:r>
              <w:t xml:space="preserve"> Representan un riesgo para la seguridad de la información.</w:t>
            </w:r>
            <w:r w:rsidR="00EA6419">
              <w:br/>
            </w:r>
            <w:r>
              <w:t>· Deben eliminarse por cumplimiento normativo o legal.</w:t>
            </w:r>
          </w:p>
          <w:p w14:paraId="08BF21FF" w14:textId="6B0E070F" w:rsidR="00EE220B" w:rsidRDefault="1343FE16">
            <w:r>
              <w:t>Finalmente, el gestor elabora el borrador del memorando en el que se informa la eliminación de los activos de información que así se requieran, así como de los registros en el Registro Nacional de Bases de Datos, si aplica. Este borrador es remitido al líder del proceso para su revisión y aprobación</w:t>
            </w:r>
            <w:r w:rsidR="35E7CC18">
              <w:t>.</w:t>
            </w:r>
            <w:r w:rsidR="00EA6419">
              <w:br/>
            </w:r>
            <w:r>
              <w:t xml:space="preserve">Si durante la revisión se formulan observaciones, el líder del proceso devolverá el documento al gestor asignado para que realice los ajustes correspondientes. En </w:t>
            </w:r>
            <w:r>
              <w:lastRenderedPageBreak/>
              <w:t xml:space="preserve">caso de no presentarse observaciones, el líder del proceso procederá con el envío del memorando al </w:t>
            </w:r>
            <w:r w:rsidR="66CC1B56">
              <w:t>subdirector</w:t>
            </w:r>
            <w:r>
              <w:t xml:space="preserve"> de Tecnologías de la Información.</w:t>
            </w:r>
          </w:p>
        </w:tc>
        <w:tc>
          <w:tcPr>
            <w:tcW w:w="1984" w:type="dxa"/>
          </w:tcPr>
          <w:p w14:paraId="02F9441F" w14:textId="77777777" w:rsidR="00EE220B" w:rsidRDefault="00EA6419">
            <w:r>
              <w:lastRenderedPageBreak/>
              <w:t>Sin definir</w:t>
            </w:r>
          </w:p>
        </w:tc>
        <w:tc>
          <w:tcPr>
            <w:tcW w:w="1701" w:type="dxa"/>
          </w:tcPr>
          <w:p w14:paraId="5734CBE5" w14:textId="77777777" w:rsidR="00EE220B" w:rsidRDefault="00EA6419">
            <w:r>
              <w:t>Sin definir</w:t>
            </w:r>
          </w:p>
        </w:tc>
        <w:tc>
          <w:tcPr>
            <w:tcW w:w="2268" w:type="dxa"/>
          </w:tcPr>
          <w:p w14:paraId="4E699A46" w14:textId="77777777" w:rsidR="00EE220B" w:rsidRDefault="00EA6419">
            <w:r>
              <w:t>Sin definir</w:t>
            </w:r>
          </w:p>
        </w:tc>
      </w:tr>
      <w:tr w:rsidR="00EE220B" w14:paraId="2F8A7B90" w14:textId="77777777" w:rsidTr="1343FE16">
        <w:tc>
          <w:tcPr>
            <w:tcW w:w="426" w:type="dxa"/>
          </w:tcPr>
          <w:p w14:paraId="21C9D991" w14:textId="77777777" w:rsidR="00EE220B" w:rsidRDefault="00EA6419">
            <w:r>
              <w:t>42</w:t>
            </w:r>
          </w:p>
        </w:tc>
        <w:tc>
          <w:tcPr>
            <w:tcW w:w="7370" w:type="dxa"/>
          </w:tcPr>
          <w:p w14:paraId="7CC14800" w14:textId="77777777" w:rsidR="00EE220B" w:rsidRDefault="00EA6419">
            <w:r>
              <w:rPr>
                <w:b/>
              </w:rPr>
              <w:t>2</w:t>
            </w:r>
            <w:r>
              <w:br/>
              <w:t>Se dirige a la actividad: Revisar identificación de activos de información.</w:t>
            </w:r>
          </w:p>
        </w:tc>
        <w:tc>
          <w:tcPr>
            <w:tcW w:w="1984" w:type="dxa"/>
          </w:tcPr>
          <w:p w14:paraId="5A8767B7" w14:textId="77777777" w:rsidR="00EE220B" w:rsidRDefault="00EA6419">
            <w:r>
              <w:t>Sin definir</w:t>
            </w:r>
          </w:p>
        </w:tc>
        <w:tc>
          <w:tcPr>
            <w:tcW w:w="1701" w:type="dxa"/>
          </w:tcPr>
          <w:p w14:paraId="40F921CA" w14:textId="77777777" w:rsidR="00EE220B" w:rsidRDefault="00EA6419">
            <w:r>
              <w:t>Sin definir</w:t>
            </w:r>
          </w:p>
        </w:tc>
        <w:tc>
          <w:tcPr>
            <w:tcW w:w="2268" w:type="dxa"/>
          </w:tcPr>
          <w:p w14:paraId="6E4F0864" w14:textId="77777777" w:rsidR="00EE220B" w:rsidRDefault="00EA6419">
            <w:r>
              <w:t>Sin definir</w:t>
            </w:r>
          </w:p>
        </w:tc>
      </w:tr>
      <w:tr w:rsidR="00EE220B" w14:paraId="663A1276" w14:textId="77777777" w:rsidTr="1343FE16">
        <w:tc>
          <w:tcPr>
            <w:tcW w:w="426" w:type="dxa"/>
          </w:tcPr>
          <w:p w14:paraId="55739EF0" w14:textId="77777777" w:rsidR="00EE220B" w:rsidRDefault="00EA6419">
            <w:r>
              <w:t>43</w:t>
            </w:r>
          </w:p>
        </w:tc>
        <w:tc>
          <w:tcPr>
            <w:tcW w:w="7370" w:type="dxa"/>
          </w:tcPr>
          <w:p w14:paraId="5B307ED9" w14:textId="4BDB57EA" w:rsidR="00EE220B" w:rsidRDefault="1343FE16">
            <w:r w:rsidRPr="1343FE16">
              <w:rPr>
                <w:b/>
                <w:bCs/>
              </w:rPr>
              <w:t>Reportar la ausencia de cambios</w:t>
            </w:r>
            <w:r w:rsidR="00EA6419">
              <w:br/>
            </w:r>
            <w:r>
              <w:t>El gestor elabora el borrador del memorando en el que se informa que no se requieren modificaciones a los activos de información y/o a los registros en el Registro Nacional de Bases de Datos, si aplica. Dicho borrador es remitido al líder del proceso para su revisión y aprobación.</w:t>
            </w:r>
            <w:r w:rsidR="00EA6419">
              <w:br/>
            </w:r>
            <w:r>
              <w:t> </w:t>
            </w:r>
            <w:r w:rsidR="00EA6419">
              <w:br/>
            </w:r>
            <w:r>
              <w:t xml:space="preserve">Si durante la revisión se formulan observaciones, el líder del proceso devolverá el documento al gestor asignado para que realice los ajustes correspondientes. En caso de no presentarse observaciones, el líder del proceso procederá con el envío del memorando al </w:t>
            </w:r>
            <w:r w:rsidR="453DCCE4">
              <w:t>subdirector</w:t>
            </w:r>
            <w:r>
              <w:t xml:space="preserve"> de Tecnologías de la Información.</w:t>
            </w:r>
          </w:p>
        </w:tc>
        <w:tc>
          <w:tcPr>
            <w:tcW w:w="1984" w:type="dxa"/>
          </w:tcPr>
          <w:p w14:paraId="6B764363" w14:textId="2AD0C843" w:rsidR="00EE220B" w:rsidRDefault="2D94BFBD">
            <w:r>
              <w:t>Todas las dependencias</w:t>
            </w:r>
          </w:p>
        </w:tc>
        <w:tc>
          <w:tcPr>
            <w:tcW w:w="1701" w:type="dxa"/>
          </w:tcPr>
          <w:p w14:paraId="60B636BF" w14:textId="77777777" w:rsidR="00EE220B" w:rsidRDefault="00EA6419">
            <w:r>
              <w:t>Sin definir</w:t>
            </w:r>
          </w:p>
        </w:tc>
        <w:tc>
          <w:tcPr>
            <w:tcW w:w="2268" w:type="dxa"/>
          </w:tcPr>
          <w:p w14:paraId="4408D909" w14:textId="77777777" w:rsidR="00EE220B" w:rsidRDefault="00EA6419">
            <w:r>
              <w:t>Sin definir</w:t>
            </w:r>
          </w:p>
        </w:tc>
      </w:tr>
      <w:tr w:rsidR="00EE220B" w14:paraId="3FDF8BBE" w14:textId="77777777" w:rsidTr="1343FE16">
        <w:tc>
          <w:tcPr>
            <w:tcW w:w="426" w:type="dxa"/>
          </w:tcPr>
          <w:p w14:paraId="64397A95" w14:textId="77777777" w:rsidR="00EE220B" w:rsidRDefault="00EA6419">
            <w:r>
              <w:t>44</w:t>
            </w:r>
          </w:p>
        </w:tc>
        <w:tc>
          <w:tcPr>
            <w:tcW w:w="7370" w:type="dxa"/>
          </w:tcPr>
          <w:p w14:paraId="2C6994F1" w14:textId="77777777" w:rsidR="00EE220B" w:rsidRDefault="00EA6419">
            <w:r>
              <w:rPr>
                <w:b/>
              </w:rPr>
              <w:t>2</w:t>
            </w:r>
            <w:r>
              <w:br/>
              <w:t>Se dirige a la actividad: Revisar identificación de activos de información.</w:t>
            </w:r>
          </w:p>
        </w:tc>
        <w:tc>
          <w:tcPr>
            <w:tcW w:w="1984" w:type="dxa"/>
          </w:tcPr>
          <w:p w14:paraId="07CE59E5" w14:textId="28E57593" w:rsidR="00EE220B" w:rsidRDefault="00EE220B"/>
        </w:tc>
        <w:tc>
          <w:tcPr>
            <w:tcW w:w="1701" w:type="dxa"/>
          </w:tcPr>
          <w:p w14:paraId="2652E39B" w14:textId="77777777" w:rsidR="00EE220B" w:rsidRDefault="00EA6419">
            <w:r>
              <w:t>Sin definir</w:t>
            </w:r>
          </w:p>
        </w:tc>
        <w:tc>
          <w:tcPr>
            <w:tcW w:w="2268" w:type="dxa"/>
          </w:tcPr>
          <w:p w14:paraId="72EA4536" w14:textId="77777777" w:rsidR="00EE220B" w:rsidRDefault="00EA6419">
            <w:r>
              <w:t>Sin definir</w:t>
            </w:r>
          </w:p>
        </w:tc>
      </w:tr>
      <w:tr w:rsidR="00EE220B" w14:paraId="7200233A" w14:textId="77777777" w:rsidTr="1343FE16">
        <w:tc>
          <w:tcPr>
            <w:tcW w:w="426" w:type="dxa"/>
          </w:tcPr>
          <w:p w14:paraId="43FBD11F" w14:textId="77777777" w:rsidR="00EE220B" w:rsidRDefault="00EA6419">
            <w:r>
              <w:t>45</w:t>
            </w:r>
          </w:p>
        </w:tc>
        <w:tc>
          <w:tcPr>
            <w:tcW w:w="7370" w:type="dxa"/>
          </w:tcPr>
          <w:p w14:paraId="214CA7D0" w14:textId="01E9F204" w:rsidR="00EE220B" w:rsidRDefault="1343FE16">
            <w:r w:rsidRPr="1343FE16">
              <w:rPr>
                <w:b/>
                <w:bCs/>
              </w:rPr>
              <w:t>Generar informe de monitoreo de politicas y de herramientas de seguridad</w:t>
            </w:r>
            <w:r w:rsidR="00EA6419">
              <w:br/>
            </w:r>
            <w:r>
              <w:t>El funcionario asignado debe realizar el monitoreo semanal al comportamiento de las herramientas de seguridad que posee la entidad y posterior a ello, se realiza un informe. El resultado de este informe deberá ser entregado al oficial de seguridad de la información._</w:t>
            </w:r>
            <w:r w:rsidR="00EA6419">
              <w:br/>
            </w:r>
            <w:r>
              <w:t>Para el caso de las politicas de seguridad de la información, el funcionario asignado realizará el comportamiento de estas en forma trimestral entregando resultados al oficial de seguridad de la información.</w:t>
            </w:r>
          </w:p>
        </w:tc>
        <w:tc>
          <w:tcPr>
            <w:tcW w:w="1984" w:type="dxa"/>
          </w:tcPr>
          <w:p w14:paraId="447E1663" w14:textId="3ECBA9B3" w:rsidR="00EE220B" w:rsidRDefault="76C172F3" w:rsidP="1343FE16">
            <w:r>
              <w:t>Identificar, clasificar y etiquetar activos.</w:t>
            </w:r>
          </w:p>
        </w:tc>
        <w:tc>
          <w:tcPr>
            <w:tcW w:w="1701" w:type="dxa"/>
          </w:tcPr>
          <w:p w14:paraId="24102AC3" w14:textId="77777777" w:rsidR="00EE220B" w:rsidRDefault="00EA6419">
            <w:r>
              <w:t>Sin definir</w:t>
            </w:r>
          </w:p>
        </w:tc>
        <w:tc>
          <w:tcPr>
            <w:tcW w:w="2268" w:type="dxa"/>
          </w:tcPr>
          <w:p w14:paraId="55B3D9F0" w14:textId="77777777" w:rsidR="00EE220B" w:rsidRDefault="00EA6419">
            <w:r>
              <w:t>Sin definir</w:t>
            </w:r>
          </w:p>
        </w:tc>
      </w:tr>
      <w:tr w:rsidR="00EE220B" w14:paraId="673D403C" w14:textId="77777777" w:rsidTr="1343FE16">
        <w:tc>
          <w:tcPr>
            <w:tcW w:w="426" w:type="dxa"/>
          </w:tcPr>
          <w:p w14:paraId="00CA47E3" w14:textId="77777777" w:rsidR="00EE220B" w:rsidRDefault="00EA6419">
            <w:r>
              <w:t>46</w:t>
            </w:r>
          </w:p>
        </w:tc>
        <w:tc>
          <w:tcPr>
            <w:tcW w:w="7370" w:type="dxa"/>
          </w:tcPr>
          <w:p w14:paraId="5B766DE8" w14:textId="77777777" w:rsidR="00EE220B" w:rsidRDefault="1343FE16">
            <w:r w:rsidRPr="1343FE16">
              <w:rPr>
                <w:b/>
                <w:bCs/>
              </w:rPr>
              <w:t>¿Hubo una alerta de seguridad?</w:t>
            </w:r>
          </w:p>
          <w:p w14:paraId="6FF396BA" w14:textId="056A3DA3" w:rsidR="00EE220B" w:rsidRDefault="00EE220B" w:rsidP="1343FE16">
            <w:pPr>
              <w:rPr>
                <w:b/>
                <w:bCs/>
              </w:rPr>
            </w:pPr>
          </w:p>
          <w:p w14:paraId="4902655A" w14:textId="16F2FE66" w:rsidR="00EE220B" w:rsidRDefault="19DF5D64" w:rsidP="1343FE16">
            <w:pPr>
              <w:rPr>
                <w:b/>
                <w:bCs/>
              </w:rPr>
            </w:pPr>
            <w:r w:rsidRPr="1343FE16">
              <w:rPr>
                <w:b/>
                <w:bCs/>
              </w:rPr>
              <w:lastRenderedPageBreak/>
              <w:t>Si. Pasa a actividad 47</w:t>
            </w:r>
          </w:p>
          <w:p w14:paraId="46DF810B" w14:textId="65711CC1" w:rsidR="00EE220B" w:rsidRDefault="00EE220B" w:rsidP="1343FE16">
            <w:pPr>
              <w:rPr>
                <w:b/>
                <w:bCs/>
              </w:rPr>
            </w:pPr>
          </w:p>
          <w:p w14:paraId="3EE6C33B" w14:textId="5E9F3360" w:rsidR="00EE220B" w:rsidRDefault="19DF5D64" w:rsidP="1343FE16">
            <w:pPr>
              <w:rPr>
                <w:b/>
                <w:bCs/>
              </w:rPr>
            </w:pPr>
            <w:r w:rsidRPr="1343FE16">
              <w:rPr>
                <w:b/>
                <w:bCs/>
              </w:rPr>
              <w:t xml:space="preserve">No. Pasa a actividad </w:t>
            </w:r>
          </w:p>
          <w:p w14:paraId="7BA83645" w14:textId="54C854C4" w:rsidR="00EE220B" w:rsidRDefault="00EE220B" w:rsidP="1343FE16">
            <w:pPr>
              <w:rPr>
                <w:b/>
                <w:bCs/>
              </w:rPr>
            </w:pPr>
          </w:p>
          <w:p w14:paraId="44E10B8E" w14:textId="7939AC2B" w:rsidR="00EE220B" w:rsidRDefault="00EE220B" w:rsidP="1343FE16">
            <w:pPr>
              <w:rPr>
                <w:b/>
                <w:bCs/>
              </w:rPr>
            </w:pPr>
          </w:p>
        </w:tc>
        <w:tc>
          <w:tcPr>
            <w:tcW w:w="1984" w:type="dxa"/>
          </w:tcPr>
          <w:p w14:paraId="110D5EC7" w14:textId="77777777" w:rsidR="00EE220B" w:rsidRDefault="00EA6419">
            <w:r>
              <w:lastRenderedPageBreak/>
              <w:t>Sin definir</w:t>
            </w:r>
          </w:p>
        </w:tc>
        <w:tc>
          <w:tcPr>
            <w:tcW w:w="1701" w:type="dxa"/>
          </w:tcPr>
          <w:p w14:paraId="3FDE4437" w14:textId="77777777" w:rsidR="00EE220B" w:rsidRDefault="00EA6419">
            <w:r>
              <w:t>Sin definir</w:t>
            </w:r>
          </w:p>
        </w:tc>
        <w:tc>
          <w:tcPr>
            <w:tcW w:w="2268" w:type="dxa"/>
          </w:tcPr>
          <w:p w14:paraId="217BEE0C" w14:textId="77777777" w:rsidR="00EE220B" w:rsidRDefault="00EA6419">
            <w:r>
              <w:t>Sin definir</w:t>
            </w:r>
          </w:p>
        </w:tc>
      </w:tr>
      <w:tr w:rsidR="00EE220B" w14:paraId="0C4D1C15" w14:textId="77777777" w:rsidTr="1343FE16">
        <w:tc>
          <w:tcPr>
            <w:tcW w:w="426" w:type="dxa"/>
          </w:tcPr>
          <w:p w14:paraId="28E52AA1" w14:textId="77777777" w:rsidR="00EE220B" w:rsidRDefault="00EA6419">
            <w:r>
              <w:t>47</w:t>
            </w:r>
          </w:p>
        </w:tc>
        <w:tc>
          <w:tcPr>
            <w:tcW w:w="7370" w:type="dxa"/>
          </w:tcPr>
          <w:p w14:paraId="6362F5DB" w14:textId="4BB506F5" w:rsidR="00EE220B" w:rsidRDefault="1343FE16">
            <w:r w:rsidRPr="1343FE16">
              <w:rPr>
                <w:b/>
                <w:bCs/>
              </w:rPr>
              <w:t>Generar análisis de la alerta_x000B_</w:t>
            </w:r>
            <w:r w:rsidR="00EA6419">
              <w:br/>
            </w:r>
            <w:r>
              <w:t>El funcionario asignado analizará el tipo de alerta de seguridad determinando si es un ciberataque o incidente de seguridad informática.</w:t>
            </w:r>
          </w:p>
        </w:tc>
        <w:tc>
          <w:tcPr>
            <w:tcW w:w="1984" w:type="dxa"/>
          </w:tcPr>
          <w:p w14:paraId="7E82BD96" w14:textId="77777777" w:rsidR="00EE220B" w:rsidRDefault="00EA6419">
            <w:r>
              <w:t>Sin definir</w:t>
            </w:r>
          </w:p>
        </w:tc>
        <w:tc>
          <w:tcPr>
            <w:tcW w:w="1701" w:type="dxa"/>
          </w:tcPr>
          <w:p w14:paraId="756AE2E6" w14:textId="77777777" w:rsidR="00EE220B" w:rsidRDefault="00EA6419">
            <w:r>
              <w:t>Sin definir</w:t>
            </w:r>
          </w:p>
        </w:tc>
        <w:tc>
          <w:tcPr>
            <w:tcW w:w="2268" w:type="dxa"/>
          </w:tcPr>
          <w:p w14:paraId="45A8C3D1" w14:textId="77777777" w:rsidR="00EE220B" w:rsidRDefault="00EA6419">
            <w:r>
              <w:t>Sin definir</w:t>
            </w:r>
          </w:p>
        </w:tc>
      </w:tr>
      <w:tr w:rsidR="00EE220B" w14:paraId="2ABE2D19" w14:textId="77777777" w:rsidTr="1343FE16">
        <w:tc>
          <w:tcPr>
            <w:tcW w:w="426" w:type="dxa"/>
          </w:tcPr>
          <w:p w14:paraId="6089FD39" w14:textId="77777777" w:rsidR="00EE220B" w:rsidRDefault="00EA6419">
            <w:r>
              <w:t>48</w:t>
            </w:r>
          </w:p>
        </w:tc>
        <w:tc>
          <w:tcPr>
            <w:tcW w:w="7370" w:type="dxa"/>
          </w:tcPr>
          <w:p w14:paraId="397821D1" w14:textId="77777777" w:rsidR="00EE220B" w:rsidRDefault="00EA6419">
            <w:r>
              <w:rPr>
                <w:b/>
              </w:rPr>
              <w:t>Tipo de alerta</w:t>
            </w:r>
          </w:p>
        </w:tc>
        <w:tc>
          <w:tcPr>
            <w:tcW w:w="1984" w:type="dxa"/>
          </w:tcPr>
          <w:p w14:paraId="6442FE81" w14:textId="77777777" w:rsidR="00EE220B" w:rsidRDefault="00EA6419">
            <w:r>
              <w:t>Sin definir</w:t>
            </w:r>
          </w:p>
        </w:tc>
        <w:tc>
          <w:tcPr>
            <w:tcW w:w="1701" w:type="dxa"/>
          </w:tcPr>
          <w:p w14:paraId="3539D7F2" w14:textId="77777777" w:rsidR="00EE220B" w:rsidRDefault="00EA6419">
            <w:r>
              <w:t>Sin definir</w:t>
            </w:r>
          </w:p>
        </w:tc>
        <w:tc>
          <w:tcPr>
            <w:tcW w:w="2268" w:type="dxa"/>
          </w:tcPr>
          <w:p w14:paraId="2FA9D67D" w14:textId="77777777" w:rsidR="00EE220B" w:rsidRDefault="00EA6419">
            <w:r>
              <w:t>Sin definir</w:t>
            </w:r>
          </w:p>
        </w:tc>
      </w:tr>
      <w:tr w:rsidR="00EE220B" w14:paraId="5BA4E424" w14:textId="77777777" w:rsidTr="1343FE16">
        <w:tc>
          <w:tcPr>
            <w:tcW w:w="426" w:type="dxa"/>
          </w:tcPr>
          <w:p w14:paraId="54368C02" w14:textId="77777777" w:rsidR="00EE220B" w:rsidRDefault="00EA6419">
            <w:r>
              <w:t>49</w:t>
            </w:r>
          </w:p>
        </w:tc>
        <w:tc>
          <w:tcPr>
            <w:tcW w:w="7370" w:type="dxa"/>
          </w:tcPr>
          <w:p w14:paraId="0E049F80" w14:textId="77777777" w:rsidR="00EE220B" w:rsidRDefault="00EA6419">
            <w:r>
              <w:rPr>
                <w:b/>
              </w:rPr>
              <w:t>Proceso Gestión de Mejora</w:t>
            </w:r>
            <w:r>
              <w:br/>
              <w:t>Se conecta con el proceso de Gestión de Mejora en la actividad clave de éxito: Ejecutar plan de mejoramiento.</w:t>
            </w:r>
          </w:p>
        </w:tc>
        <w:tc>
          <w:tcPr>
            <w:tcW w:w="1984" w:type="dxa"/>
          </w:tcPr>
          <w:p w14:paraId="2B498F31" w14:textId="1C70C03C" w:rsidR="00EE220B" w:rsidRDefault="185E46DA">
            <w:r>
              <w:t>Oficina Asesora de Planeación</w:t>
            </w:r>
          </w:p>
        </w:tc>
        <w:tc>
          <w:tcPr>
            <w:tcW w:w="1701" w:type="dxa"/>
          </w:tcPr>
          <w:p w14:paraId="657C41C7" w14:textId="77777777" w:rsidR="00EE220B" w:rsidRDefault="00EA6419">
            <w:r>
              <w:t>Sin definir</w:t>
            </w:r>
          </w:p>
        </w:tc>
        <w:tc>
          <w:tcPr>
            <w:tcW w:w="2268" w:type="dxa"/>
          </w:tcPr>
          <w:p w14:paraId="6A61D707" w14:textId="77777777" w:rsidR="00EE220B" w:rsidRDefault="00EA6419">
            <w:r>
              <w:t>Sin definir</w:t>
            </w:r>
          </w:p>
        </w:tc>
      </w:tr>
      <w:tr w:rsidR="00EE220B" w14:paraId="46FE0E51" w14:textId="77777777" w:rsidTr="1343FE16">
        <w:tc>
          <w:tcPr>
            <w:tcW w:w="426" w:type="dxa"/>
          </w:tcPr>
          <w:p w14:paraId="68861898" w14:textId="77777777" w:rsidR="00EE220B" w:rsidRDefault="00EA6419">
            <w:r>
              <w:t>50</w:t>
            </w:r>
          </w:p>
        </w:tc>
        <w:tc>
          <w:tcPr>
            <w:tcW w:w="7370" w:type="dxa"/>
          </w:tcPr>
          <w:p w14:paraId="13A2FD0D" w14:textId="53E50BF7" w:rsidR="00EE220B" w:rsidRDefault="1343FE16">
            <w:r w:rsidRPr="1343FE16">
              <w:rPr>
                <w:b/>
                <w:bCs/>
              </w:rPr>
              <w:t>Verificar estado de herramientas</w:t>
            </w:r>
            <w:r w:rsidR="00EA6419">
              <w:br/>
            </w:r>
            <w:r>
              <w:t>El profesional asignado verifica el estado de las herramientas de monitoreo para prevención de alertas y realiza informe del estado de herramientas. El informe se remitirá por correo electrónico al sudirector de Tecnologías de la información.</w:t>
            </w:r>
          </w:p>
        </w:tc>
        <w:tc>
          <w:tcPr>
            <w:tcW w:w="1984" w:type="dxa"/>
          </w:tcPr>
          <w:p w14:paraId="4D614755" w14:textId="63E39B17" w:rsidR="00EE220B" w:rsidRDefault="5F4FEF92" w:rsidP="1343FE16">
            <w:r>
              <w:t>Profesional asignado de la subdirección de TI</w:t>
            </w:r>
          </w:p>
        </w:tc>
        <w:tc>
          <w:tcPr>
            <w:tcW w:w="1701" w:type="dxa"/>
          </w:tcPr>
          <w:p w14:paraId="3C6BA8F9" w14:textId="77777777" w:rsidR="00EE220B" w:rsidRDefault="00EA6419">
            <w:r>
              <w:t>A demanda.</w:t>
            </w:r>
          </w:p>
        </w:tc>
        <w:tc>
          <w:tcPr>
            <w:tcW w:w="2268" w:type="dxa"/>
          </w:tcPr>
          <w:p w14:paraId="69F97D6F" w14:textId="49758C7D" w:rsidR="00EE220B" w:rsidRDefault="1343FE16">
            <w:r>
              <w:t>Informe de estado de la o las herramientas dependiendo del tipo de incidente.</w:t>
            </w:r>
          </w:p>
        </w:tc>
      </w:tr>
      <w:tr w:rsidR="00EE220B" w14:paraId="7B8C7EC6" w14:textId="77777777" w:rsidTr="1343FE16">
        <w:tc>
          <w:tcPr>
            <w:tcW w:w="426" w:type="dxa"/>
          </w:tcPr>
          <w:p w14:paraId="3CBA40D0" w14:textId="77777777" w:rsidR="00EE220B" w:rsidRDefault="00EA6419">
            <w:r>
              <w:t>51</w:t>
            </w:r>
          </w:p>
        </w:tc>
        <w:tc>
          <w:tcPr>
            <w:tcW w:w="7370" w:type="dxa"/>
          </w:tcPr>
          <w:p w14:paraId="1A6D95E4" w14:textId="77777777" w:rsidR="00EE220B" w:rsidRDefault="1343FE16">
            <w:r w:rsidRPr="1343FE16">
              <w:rPr>
                <w:b/>
                <w:bCs/>
              </w:rPr>
              <w:t>¿Se requiere adquirir herramientas?</w:t>
            </w:r>
          </w:p>
          <w:p w14:paraId="444B4913" w14:textId="4A495B05" w:rsidR="00EE220B" w:rsidRDefault="00EE220B" w:rsidP="1343FE16">
            <w:pPr>
              <w:rPr>
                <w:b/>
                <w:bCs/>
              </w:rPr>
            </w:pPr>
          </w:p>
          <w:p w14:paraId="382A7273" w14:textId="7945FD8E" w:rsidR="00EE220B" w:rsidRDefault="35BCD844" w:rsidP="1343FE16">
            <w:pPr>
              <w:rPr>
                <w:b/>
                <w:bCs/>
              </w:rPr>
            </w:pPr>
            <w:r w:rsidRPr="1343FE16">
              <w:rPr>
                <w:b/>
                <w:bCs/>
              </w:rPr>
              <w:t xml:space="preserve">Si. Pasa a actividad </w:t>
            </w:r>
          </w:p>
          <w:p w14:paraId="7F9134A6" w14:textId="431B2E89" w:rsidR="00EE220B" w:rsidRDefault="35BCD844" w:rsidP="1343FE16">
            <w:pPr>
              <w:rPr>
                <w:b/>
                <w:bCs/>
              </w:rPr>
            </w:pPr>
            <w:r w:rsidRPr="1343FE16">
              <w:rPr>
                <w:b/>
                <w:bCs/>
              </w:rPr>
              <w:t xml:space="preserve">No. Pasa a actividad FIN </w:t>
            </w:r>
          </w:p>
          <w:p w14:paraId="200C345D" w14:textId="01F22643" w:rsidR="00EE220B" w:rsidRDefault="00EE220B" w:rsidP="1343FE16">
            <w:pPr>
              <w:rPr>
                <w:b/>
                <w:bCs/>
              </w:rPr>
            </w:pPr>
          </w:p>
          <w:p w14:paraId="51F04602" w14:textId="0DC4F9F8" w:rsidR="00EE220B" w:rsidRDefault="00EE220B" w:rsidP="1343FE16">
            <w:pPr>
              <w:rPr>
                <w:b/>
                <w:bCs/>
              </w:rPr>
            </w:pPr>
          </w:p>
        </w:tc>
        <w:tc>
          <w:tcPr>
            <w:tcW w:w="1984" w:type="dxa"/>
          </w:tcPr>
          <w:p w14:paraId="16F1B60C" w14:textId="5DAC2558" w:rsidR="00EE220B" w:rsidRDefault="00EE220B"/>
        </w:tc>
        <w:tc>
          <w:tcPr>
            <w:tcW w:w="1701" w:type="dxa"/>
          </w:tcPr>
          <w:p w14:paraId="245F83AD" w14:textId="77777777" w:rsidR="00EE220B" w:rsidRDefault="00EA6419">
            <w:r>
              <w:t>Sin definir</w:t>
            </w:r>
          </w:p>
        </w:tc>
        <w:tc>
          <w:tcPr>
            <w:tcW w:w="2268" w:type="dxa"/>
          </w:tcPr>
          <w:p w14:paraId="0E9A3DBC" w14:textId="77777777" w:rsidR="00EE220B" w:rsidRDefault="00EA6419">
            <w:r>
              <w:t>Sin definir</w:t>
            </w:r>
          </w:p>
        </w:tc>
      </w:tr>
      <w:tr w:rsidR="00EE220B" w14:paraId="6D6FE6C7" w14:textId="77777777" w:rsidTr="1343FE16">
        <w:tc>
          <w:tcPr>
            <w:tcW w:w="426" w:type="dxa"/>
          </w:tcPr>
          <w:p w14:paraId="00B008B9" w14:textId="77777777" w:rsidR="00EE220B" w:rsidRDefault="00EA6419">
            <w:r>
              <w:t>52</w:t>
            </w:r>
          </w:p>
        </w:tc>
        <w:tc>
          <w:tcPr>
            <w:tcW w:w="7370" w:type="dxa"/>
          </w:tcPr>
          <w:p w14:paraId="2310C318" w14:textId="77777777" w:rsidR="00EE220B" w:rsidRDefault="1343FE16">
            <w:r w:rsidRPr="1343FE16">
              <w:rPr>
                <w:b/>
                <w:bCs/>
              </w:rPr>
              <w:t>Planear gobierno de datos e información</w:t>
            </w:r>
            <w:r w:rsidR="00EA6419">
              <w:br/>
            </w:r>
            <w:r>
              <w:t>Se conecta con la actividad "Analizar y categorizar requerimientos" de la actividad clave de éxito- procedimiento "Planear gobierno de Datos e Información.</w:t>
            </w:r>
          </w:p>
        </w:tc>
        <w:tc>
          <w:tcPr>
            <w:tcW w:w="1984" w:type="dxa"/>
          </w:tcPr>
          <w:p w14:paraId="7EF626C4" w14:textId="260596A0" w:rsidR="00EE220B" w:rsidRDefault="00EE220B"/>
        </w:tc>
        <w:tc>
          <w:tcPr>
            <w:tcW w:w="1701" w:type="dxa"/>
          </w:tcPr>
          <w:p w14:paraId="76A23E84" w14:textId="77777777" w:rsidR="00EE220B" w:rsidRDefault="00EA6419">
            <w:r>
              <w:t>Sin definir</w:t>
            </w:r>
          </w:p>
        </w:tc>
        <w:tc>
          <w:tcPr>
            <w:tcW w:w="2268" w:type="dxa"/>
          </w:tcPr>
          <w:p w14:paraId="3E28C43A" w14:textId="77777777" w:rsidR="00EE220B" w:rsidRDefault="00EA6419">
            <w:r>
              <w:t>Sin definir</w:t>
            </w:r>
          </w:p>
        </w:tc>
      </w:tr>
      <w:tr w:rsidR="00EE220B" w14:paraId="08A5C948" w14:textId="77777777" w:rsidTr="1343FE16">
        <w:tc>
          <w:tcPr>
            <w:tcW w:w="426" w:type="dxa"/>
          </w:tcPr>
          <w:p w14:paraId="3F6FB1E0" w14:textId="77777777" w:rsidR="00EE220B" w:rsidRDefault="00EA6419">
            <w:r>
              <w:lastRenderedPageBreak/>
              <w:t>53</w:t>
            </w:r>
          </w:p>
        </w:tc>
        <w:tc>
          <w:tcPr>
            <w:tcW w:w="7370" w:type="dxa"/>
          </w:tcPr>
          <w:p w14:paraId="57BFAE11" w14:textId="77777777" w:rsidR="00EE220B" w:rsidRDefault="00EA6419">
            <w:r>
              <w:rPr>
                <w:b/>
              </w:rPr>
              <w:t>Fin.</w:t>
            </w:r>
          </w:p>
        </w:tc>
        <w:tc>
          <w:tcPr>
            <w:tcW w:w="1984" w:type="dxa"/>
          </w:tcPr>
          <w:p w14:paraId="490ED45B" w14:textId="44F63783" w:rsidR="00EE220B" w:rsidRDefault="00EE220B"/>
        </w:tc>
        <w:tc>
          <w:tcPr>
            <w:tcW w:w="1701" w:type="dxa"/>
          </w:tcPr>
          <w:p w14:paraId="2B8F8CC9" w14:textId="77777777" w:rsidR="00EE220B" w:rsidRDefault="00EA6419">
            <w:r>
              <w:t>Sin definir</w:t>
            </w:r>
          </w:p>
        </w:tc>
        <w:tc>
          <w:tcPr>
            <w:tcW w:w="2268" w:type="dxa"/>
          </w:tcPr>
          <w:p w14:paraId="2C8313D7" w14:textId="77777777" w:rsidR="00EE220B" w:rsidRDefault="00EA6419">
            <w:r>
              <w:t>Sin definir</w:t>
            </w:r>
          </w:p>
        </w:tc>
      </w:tr>
      <w:tr w:rsidR="00EE220B" w14:paraId="446818FC" w14:textId="77777777" w:rsidTr="1343FE16">
        <w:tc>
          <w:tcPr>
            <w:tcW w:w="426" w:type="dxa"/>
          </w:tcPr>
          <w:p w14:paraId="0868EBB2" w14:textId="77777777" w:rsidR="00EE220B" w:rsidRDefault="00EA6419">
            <w:r>
              <w:t>54</w:t>
            </w:r>
          </w:p>
        </w:tc>
        <w:tc>
          <w:tcPr>
            <w:tcW w:w="7370" w:type="dxa"/>
          </w:tcPr>
          <w:p w14:paraId="3CDE6944" w14:textId="77777777" w:rsidR="00EE220B" w:rsidRDefault="00EA6419">
            <w:r>
              <w:rPr>
                <w:b/>
              </w:rPr>
              <w:t>Fin.</w:t>
            </w:r>
          </w:p>
        </w:tc>
        <w:tc>
          <w:tcPr>
            <w:tcW w:w="1984" w:type="dxa"/>
          </w:tcPr>
          <w:p w14:paraId="2BDE0149" w14:textId="0F8479A0" w:rsidR="00EE220B" w:rsidRDefault="00EE220B"/>
        </w:tc>
        <w:tc>
          <w:tcPr>
            <w:tcW w:w="1701" w:type="dxa"/>
          </w:tcPr>
          <w:p w14:paraId="5C12756B" w14:textId="77777777" w:rsidR="00EE220B" w:rsidRDefault="00EA6419">
            <w:r>
              <w:t>Sin definir</w:t>
            </w:r>
          </w:p>
        </w:tc>
        <w:tc>
          <w:tcPr>
            <w:tcW w:w="2268" w:type="dxa"/>
          </w:tcPr>
          <w:p w14:paraId="5FA82925" w14:textId="77777777" w:rsidR="00EE220B" w:rsidRDefault="00EA6419">
            <w:r>
              <w:t>Sin definir</w:t>
            </w:r>
          </w:p>
        </w:tc>
      </w:tr>
      <w:tr w:rsidR="00EE220B" w14:paraId="13A768B9" w14:textId="77777777" w:rsidTr="1343FE16">
        <w:tc>
          <w:tcPr>
            <w:tcW w:w="426" w:type="dxa"/>
          </w:tcPr>
          <w:p w14:paraId="5FE3165D" w14:textId="77777777" w:rsidR="00EE220B" w:rsidRDefault="00EA6419">
            <w:r>
              <w:t>55</w:t>
            </w:r>
          </w:p>
        </w:tc>
        <w:tc>
          <w:tcPr>
            <w:tcW w:w="7370" w:type="dxa"/>
          </w:tcPr>
          <w:p w14:paraId="20309FA5" w14:textId="77777777" w:rsidR="00EE220B" w:rsidRDefault="1343FE16">
            <w:r w:rsidRPr="1343FE16">
              <w:rPr>
                <w:b/>
                <w:bCs/>
              </w:rPr>
              <w:t>Gestionar TI</w:t>
            </w:r>
            <w:r w:rsidR="00EA6419">
              <w:br/>
            </w:r>
            <w:r>
              <w:t>Se conecta con la actividad "Asignar analista de nivel I" de la actividad clave de éxito "Gestionar TI."</w:t>
            </w:r>
          </w:p>
        </w:tc>
        <w:tc>
          <w:tcPr>
            <w:tcW w:w="1984" w:type="dxa"/>
          </w:tcPr>
          <w:p w14:paraId="3DDB84FC" w14:textId="431B2824" w:rsidR="00EE220B" w:rsidRDefault="00EE220B"/>
        </w:tc>
        <w:tc>
          <w:tcPr>
            <w:tcW w:w="1701" w:type="dxa"/>
          </w:tcPr>
          <w:p w14:paraId="51B6FBD3" w14:textId="77777777" w:rsidR="00EE220B" w:rsidRDefault="00EA6419">
            <w:r>
              <w:t>Sin definir</w:t>
            </w:r>
          </w:p>
        </w:tc>
        <w:tc>
          <w:tcPr>
            <w:tcW w:w="2268" w:type="dxa"/>
          </w:tcPr>
          <w:p w14:paraId="02C6A2DD" w14:textId="77777777" w:rsidR="00EE220B" w:rsidRDefault="00EA6419">
            <w:r>
              <w:t>Sin definir</w:t>
            </w:r>
          </w:p>
        </w:tc>
      </w:tr>
      <w:tr w:rsidR="00EE220B" w14:paraId="7FC0800D" w14:textId="77777777" w:rsidTr="1343FE16">
        <w:tc>
          <w:tcPr>
            <w:tcW w:w="426" w:type="dxa"/>
          </w:tcPr>
          <w:p w14:paraId="6F8A58DE" w14:textId="77777777" w:rsidR="00EE220B" w:rsidRDefault="00EA6419">
            <w:r>
              <w:t>56</w:t>
            </w:r>
          </w:p>
        </w:tc>
        <w:tc>
          <w:tcPr>
            <w:tcW w:w="7370" w:type="dxa"/>
          </w:tcPr>
          <w:p w14:paraId="71AB11DD" w14:textId="77777777" w:rsidR="00EE220B" w:rsidRDefault="00EA6419">
            <w:r>
              <w:rPr>
                <w:b/>
              </w:rPr>
              <w:t>Fin.</w:t>
            </w:r>
          </w:p>
        </w:tc>
        <w:tc>
          <w:tcPr>
            <w:tcW w:w="1984" w:type="dxa"/>
          </w:tcPr>
          <w:p w14:paraId="617152DF" w14:textId="09FFB493" w:rsidR="00EE220B" w:rsidRDefault="00EE220B"/>
        </w:tc>
        <w:tc>
          <w:tcPr>
            <w:tcW w:w="1701" w:type="dxa"/>
          </w:tcPr>
          <w:p w14:paraId="3B88BDC4" w14:textId="77777777" w:rsidR="00EE220B" w:rsidRDefault="00EA6419">
            <w:r>
              <w:t>Sin definir</w:t>
            </w:r>
          </w:p>
        </w:tc>
        <w:tc>
          <w:tcPr>
            <w:tcW w:w="2268" w:type="dxa"/>
          </w:tcPr>
          <w:p w14:paraId="0B809DBA" w14:textId="77777777" w:rsidR="00EE220B" w:rsidRDefault="00EA6419">
            <w:r>
              <w:t>Sin definir</w:t>
            </w:r>
          </w:p>
        </w:tc>
      </w:tr>
      <w:tr w:rsidR="00EE220B" w14:paraId="626CE2FF" w14:textId="77777777" w:rsidTr="1343FE16">
        <w:tc>
          <w:tcPr>
            <w:tcW w:w="426" w:type="dxa"/>
          </w:tcPr>
          <w:p w14:paraId="4D2760AF" w14:textId="77777777" w:rsidR="00EE220B" w:rsidRDefault="00EA6419">
            <w:r>
              <w:t>57</w:t>
            </w:r>
          </w:p>
        </w:tc>
        <w:tc>
          <w:tcPr>
            <w:tcW w:w="7370" w:type="dxa"/>
          </w:tcPr>
          <w:p w14:paraId="57967551" w14:textId="77777777" w:rsidR="00EE220B" w:rsidRDefault="00EA6419">
            <w:r>
              <w:rPr>
                <w:b/>
              </w:rPr>
              <w:t>Fin.</w:t>
            </w:r>
          </w:p>
        </w:tc>
        <w:tc>
          <w:tcPr>
            <w:tcW w:w="1984" w:type="dxa"/>
          </w:tcPr>
          <w:p w14:paraId="4FAA16D6" w14:textId="211701A6" w:rsidR="00EE220B" w:rsidRDefault="00EE220B"/>
        </w:tc>
        <w:tc>
          <w:tcPr>
            <w:tcW w:w="1701" w:type="dxa"/>
          </w:tcPr>
          <w:p w14:paraId="5A330519" w14:textId="77777777" w:rsidR="00EE220B" w:rsidRDefault="00EA6419">
            <w:r>
              <w:t>Sin definir</w:t>
            </w:r>
          </w:p>
        </w:tc>
        <w:tc>
          <w:tcPr>
            <w:tcW w:w="2268" w:type="dxa"/>
          </w:tcPr>
          <w:p w14:paraId="49FDC146" w14:textId="77777777" w:rsidR="00EE220B" w:rsidRDefault="00EA6419">
            <w:r>
              <w:t>Sin definir</w:t>
            </w:r>
          </w:p>
        </w:tc>
      </w:tr>
      <w:tr w:rsidR="00EE220B" w14:paraId="47EE2C88" w14:textId="77777777" w:rsidTr="1343FE16">
        <w:tc>
          <w:tcPr>
            <w:tcW w:w="426" w:type="dxa"/>
          </w:tcPr>
          <w:p w14:paraId="174B1212" w14:textId="77777777" w:rsidR="00EE220B" w:rsidRDefault="00EA6419">
            <w:r>
              <w:t>60</w:t>
            </w:r>
          </w:p>
        </w:tc>
        <w:tc>
          <w:tcPr>
            <w:tcW w:w="7370" w:type="dxa"/>
          </w:tcPr>
          <w:p w14:paraId="0B778152" w14:textId="77777777" w:rsidR="00EE220B" w:rsidRDefault="00EA6419">
            <w:r>
              <w:rPr>
                <w:b/>
              </w:rPr>
              <w:t>3</w:t>
            </w:r>
          </w:p>
        </w:tc>
        <w:tc>
          <w:tcPr>
            <w:tcW w:w="1984" w:type="dxa"/>
          </w:tcPr>
          <w:p w14:paraId="0B675B66" w14:textId="3DBB2604" w:rsidR="00EE220B" w:rsidRDefault="37FEF11D">
            <w:r>
              <w:t>Subdirección de Tecnologías de la Información</w:t>
            </w:r>
          </w:p>
        </w:tc>
        <w:tc>
          <w:tcPr>
            <w:tcW w:w="1701" w:type="dxa"/>
          </w:tcPr>
          <w:p w14:paraId="2C8AFF1C" w14:textId="77777777" w:rsidR="00EE220B" w:rsidRDefault="00EA6419">
            <w:r>
              <w:t>Sin definir</w:t>
            </w:r>
          </w:p>
        </w:tc>
        <w:tc>
          <w:tcPr>
            <w:tcW w:w="2268" w:type="dxa"/>
          </w:tcPr>
          <w:p w14:paraId="3954B144" w14:textId="77777777" w:rsidR="00EE220B" w:rsidRDefault="00EA6419">
            <w:r>
              <w:t>Sin definir</w:t>
            </w:r>
          </w:p>
        </w:tc>
      </w:tr>
      <w:tr w:rsidR="00EE220B" w14:paraId="65F3AD95" w14:textId="77777777" w:rsidTr="1343FE16">
        <w:tc>
          <w:tcPr>
            <w:tcW w:w="426" w:type="dxa"/>
          </w:tcPr>
          <w:p w14:paraId="5A3C3AB2" w14:textId="77777777" w:rsidR="00EE220B" w:rsidRDefault="00EA6419">
            <w:r>
              <w:t>61</w:t>
            </w:r>
          </w:p>
        </w:tc>
        <w:tc>
          <w:tcPr>
            <w:tcW w:w="7370" w:type="dxa"/>
          </w:tcPr>
          <w:p w14:paraId="17A11F43" w14:textId="77777777" w:rsidR="00EE220B" w:rsidRDefault="00EA6419">
            <w:r>
              <w:rPr>
                <w:b/>
              </w:rPr>
              <w:t>Cerrar cargue de registro nacional de base de datos personales</w:t>
            </w:r>
            <w:r>
              <w:br/>
              <w:t>El profesional asignado cierra el cargue de la información en el sistema de información de Registro Nacional de Bases de Datos Personales de la Superintendencia de Industria y Comercio.</w:t>
            </w:r>
          </w:p>
        </w:tc>
        <w:tc>
          <w:tcPr>
            <w:tcW w:w="1984" w:type="dxa"/>
          </w:tcPr>
          <w:p w14:paraId="1D3BBBCB" w14:textId="63E39B17" w:rsidR="00EE220B" w:rsidRDefault="406707AD" w:rsidP="1343FE16">
            <w:r>
              <w:t>Profesional asignado de la subdirección de TI</w:t>
            </w:r>
          </w:p>
          <w:p w14:paraId="3EFC53C3" w14:textId="5E36867F" w:rsidR="00EE220B" w:rsidRDefault="00EE220B" w:rsidP="1343FE16"/>
        </w:tc>
        <w:tc>
          <w:tcPr>
            <w:tcW w:w="1701" w:type="dxa"/>
          </w:tcPr>
          <w:p w14:paraId="5AFBD26E" w14:textId="77777777" w:rsidR="00EE220B" w:rsidRDefault="00EA6419">
            <w:r>
              <w:t>Sin definir</w:t>
            </w:r>
          </w:p>
        </w:tc>
        <w:tc>
          <w:tcPr>
            <w:tcW w:w="2268" w:type="dxa"/>
          </w:tcPr>
          <w:p w14:paraId="4E8C15D8" w14:textId="77777777" w:rsidR="00EE220B" w:rsidRDefault="00EA6419">
            <w:r>
              <w:t>Sin definir</w:t>
            </w:r>
          </w:p>
        </w:tc>
      </w:tr>
      <w:tr w:rsidR="00EE220B" w14:paraId="26F77EBC" w14:textId="77777777" w:rsidTr="1343FE16">
        <w:tc>
          <w:tcPr>
            <w:tcW w:w="426" w:type="dxa"/>
          </w:tcPr>
          <w:p w14:paraId="04C1D538" w14:textId="77777777" w:rsidR="00EE220B" w:rsidRDefault="00EA6419">
            <w:r>
              <w:t>62</w:t>
            </w:r>
          </w:p>
        </w:tc>
        <w:tc>
          <w:tcPr>
            <w:tcW w:w="7370" w:type="dxa"/>
          </w:tcPr>
          <w:p w14:paraId="027E95CF" w14:textId="218233BA" w:rsidR="00EE220B" w:rsidRDefault="1343FE16">
            <w:r w:rsidRPr="1343FE16">
              <w:rPr>
                <w:b/>
                <w:bCs/>
              </w:rPr>
              <w:t>Generar informe de gestión de registro nacional de base de datos personales.</w:t>
            </w:r>
            <w:r w:rsidR="00EA6419">
              <w:br/>
            </w:r>
            <w:r>
              <w:t>El profesional asignado genera el informe sobre la cantidad de registros de información reportados ante la Base General de Datos Personales, con el fin de socializarlo mediante correo electrónico o memorando a todas las dependencias, así como en el Comité Institucional de Gestión y Desempeño.</w:t>
            </w:r>
            <w:r w:rsidR="00EA6419">
              <w:br/>
            </w:r>
            <w:r>
              <w:t xml:space="preserve">Para tal fin, el profesional elabora el borrador del memorando y/o correo electrónico y lo remite al Coordinador de Seguridad Digital para su revisión y aprobación inicial. Posteriormente, el documento es enviado al </w:t>
            </w:r>
            <w:r w:rsidR="3ABD354C">
              <w:t>subdirector</w:t>
            </w:r>
            <w:r>
              <w:t xml:space="preserve"> de Tecnologías de la Información para su validación final.</w:t>
            </w:r>
            <w:r w:rsidR="00EA6419">
              <w:br/>
            </w:r>
            <w:r>
              <w:t xml:space="preserve">Si durante el proceso de revisión se formulan observaciones, el Coordinador o el </w:t>
            </w:r>
            <w:r w:rsidR="2DA7BACA">
              <w:t>subdirector</w:t>
            </w:r>
            <w:r>
              <w:t xml:space="preserve"> devolverán el documento al profesional asignado para que realice los ajustes correspondientes. En caso de no presentarse observaciones, el </w:t>
            </w:r>
            <w:r w:rsidR="57362AF8">
              <w:lastRenderedPageBreak/>
              <w:t>subdirector</w:t>
            </w:r>
            <w:r>
              <w:t xml:space="preserve"> procederá con el envío del memorando o correo electrónico a los destinatarios pertinentes.</w:t>
            </w:r>
          </w:p>
        </w:tc>
        <w:tc>
          <w:tcPr>
            <w:tcW w:w="1984" w:type="dxa"/>
          </w:tcPr>
          <w:p w14:paraId="449043D2" w14:textId="1241EA30" w:rsidR="00EE220B" w:rsidRDefault="1343FE16">
            <w:r>
              <w:lastRenderedPageBreak/>
              <w:t>Sin d</w:t>
            </w:r>
            <w:r w:rsidR="01E7D8F0">
              <w:t xml:space="preserve"> Profesional asignado de la subdirección de TI </w:t>
            </w:r>
          </w:p>
          <w:p w14:paraId="28CF28AC" w14:textId="27FE3C3D" w:rsidR="00EE220B" w:rsidRDefault="00EE220B"/>
        </w:tc>
        <w:tc>
          <w:tcPr>
            <w:tcW w:w="1701" w:type="dxa"/>
          </w:tcPr>
          <w:p w14:paraId="5CCD00B1" w14:textId="77777777" w:rsidR="00EE220B" w:rsidRDefault="00EA6419">
            <w:r>
              <w:t>Sin definir</w:t>
            </w:r>
          </w:p>
        </w:tc>
        <w:tc>
          <w:tcPr>
            <w:tcW w:w="2268" w:type="dxa"/>
          </w:tcPr>
          <w:p w14:paraId="6A1378E7" w14:textId="77777777" w:rsidR="00EE220B" w:rsidRDefault="00EA6419">
            <w:r>
              <w:t>Sin definir</w:t>
            </w:r>
          </w:p>
        </w:tc>
      </w:tr>
      <w:tr w:rsidR="00EE220B" w14:paraId="20FDBE2F" w14:textId="77777777" w:rsidTr="1343FE16">
        <w:tc>
          <w:tcPr>
            <w:tcW w:w="426" w:type="dxa"/>
          </w:tcPr>
          <w:p w14:paraId="43028211" w14:textId="77777777" w:rsidR="00EE220B" w:rsidRDefault="00EA6419">
            <w:r>
              <w:t>63</w:t>
            </w:r>
          </w:p>
        </w:tc>
        <w:tc>
          <w:tcPr>
            <w:tcW w:w="7370" w:type="dxa"/>
          </w:tcPr>
          <w:p w14:paraId="749DD99B" w14:textId="77777777" w:rsidR="00EE220B" w:rsidRDefault="00EA6419">
            <w:r>
              <w:rPr>
                <w:b/>
              </w:rPr>
              <w:t>Compuerta Paralela</w:t>
            </w:r>
          </w:p>
        </w:tc>
        <w:tc>
          <w:tcPr>
            <w:tcW w:w="1984" w:type="dxa"/>
          </w:tcPr>
          <w:p w14:paraId="5D9FF848" w14:textId="7C36BB88" w:rsidR="00EE220B" w:rsidRDefault="00EE220B"/>
        </w:tc>
        <w:tc>
          <w:tcPr>
            <w:tcW w:w="1701" w:type="dxa"/>
          </w:tcPr>
          <w:p w14:paraId="3A09392A" w14:textId="77777777" w:rsidR="00EE220B" w:rsidRDefault="00EA6419">
            <w:r>
              <w:t>Sin definir</w:t>
            </w:r>
          </w:p>
        </w:tc>
        <w:tc>
          <w:tcPr>
            <w:tcW w:w="2268" w:type="dxa"/>
          </w:tcPr>
          <w:p w14:paraId="1F49E592" w14:textId="77777777" w:rsidR="00EE220B" w:rsidRDefault="00EA6419">
            <w:r>
              <w:t>Sin definir</w:t>
            </w:r>
          </w:p>
        </w:tc>
      </w:tr>
      <w:tr w:rsidR="00EE220B" w14:paraId="0AB8A289" w14:textId="77777777" w:rsidTr="1343FE16">
        <w:tc>
          <w:tcPr>
            <w:tcW w:w="426" w:type="dxa"/>
          </w:tcPr>
          <w:p w14:paraId="55440C04" w14:textId="77777777" w:rsidR="00EE220B" w:rsidRDefault="00EA6419">
            <w:r>
              <w:t>64</w:t>
            </w:r>
          </w:p>
        </w:tc>
        <w:tc>
          <w:tcPr>
            <w:tcW w:w="7370" w:type="dxa"/>
          </w:tcPr>
          <w:p w14:paraId="3B7207B6" w14:textId="77777777" w:rsidR="00EE220B" w:rsidRDefault="00EA6419">
            <w:r>
              <w:rPr>
                <w:b/>
              </w:rPr>
              <w:t>Fin</w:t>
            </w:r>
          </w:p>
        </w:tc>
        <w:tc>
          <w:tcPr>
            <w:tcW w:w="1984" w:type="dxa"/>
          </w:tcPr>
          <w:p w14:paraId="25E3DFFA" w14:textId="5728E332" w:rsidR="00EE220B" w:rsidRDefault="00EE220B"/>
        </w:tc>
        <w:tc>
          <w:tcPr>
            <w:tcW w:w="1701" w:type="dxa"/>
          </w:tcPr>
          <w:p w14:paraId="5DF0A922" w14:textId="77777777" w:rsidR="00EE220B" w:rsidRDefault="00EA6419">
            <w:r>
              <w:t>Sin definir</w:t>
            </w:r>
          </w:p>
        </w:tc>
        <w:tc>
          <w:tcPr>
            <w:tcW w:w="2268" w:type="dxa"/>
          </w:tcPr>
          <w:p w14:paraId="187B2F34" w14:textId="77777777" w:rsidR="00EE220B" w:rsidRDefault="00EA6419">
            <w:r>
              <w:t>Sin definir</w:t>
            </w:r>
          </w:p>
        </w:tc>
      </w:tr>
    </w:tbl>
    <w:p w14:paraId="736B21A2" w14:textId="3980B1D2" w:rsidR="1343FE16" w:rsidRDefault="1343FE16"/>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Cs w:val="24"/>
          <w:shd w:val="clear" w:color="auto" w:fill="FFFFFF"/>
        </w:rPr>
        <w:t>Sin definir</w:t>
      </w:r>
    </w:p>
    <w:p w14:paraId="7E4EF0B4" w14:textId="77777777" w:rsidR="00E27E65" w:rsidRDefault="00E27E65">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862357" w:rsidRPr="00EA6419" w14:paraId="04E27948" w14:textId="77777777" w:rsidTr="2EF290D4">
        <w:trPr>
          <w:trHeight w:val="307"/>
        </w:trPr>
        <w:tc>
          <w:tcPr>
            <w:tcW w:w="12883" w:type="dxa"/>
            <w:gridSpan w:val="6"/>
            <w:shd w:val="clear" w:color="auto" w:fill="33CCCC"/>
            <w:vAlign w:val="center"/>
          </w:tcPr>
          <w:p w14:paraId="746FECF5" w14:textId="77777777" w:rsidR="00862357" w:rsidRPr="00EA6419" w:rsidRDefault="00862357" w:rsidP="00C939C5">
            <w:pPr>
              <w:jc w:val="center"/>
              <w:rPr>
                <w:rFonts w:ascii="Arial" w:hAnsi="Arial" w:cs="Arial"/>
                <w:b/>
                <w:bCs/>
              </w:rPr>
            </w:pPr>
            <w:r w:rsidRPr="00EA6419">
              <w:rPr>
                <w:rFonts w:ascii="Arial" w:hAnsi="Arial" w:cs="Arial"/>
                <w:b/>
                <w:bCs/>
              </w:rPr>
              <w:t>Control de cambios</w:t>
            </w:r>
          </w:p>
        </w:tc>
      </w:tr>
      <w:tr w:rsidR="00BC3926" w:rsidRPr="00EA6419" w14:paraId="6F9F6DAE" w14:textId="77777777" w:rsidTr="2EF290D4">
        <w:trPr>
          <w:trHeight w:val="313"/>
        </w:trPr>
        <w:tc>
          <w:tcPr>
            <w:tcW w:w="1536" w:type="dxa"/>
            <w:shd w:val="clear" w:color="auto" w:fill="33CCCC"/>
            <w:vAlign w:val="center"/>
          </w:tcPr>
          <w:p w14:paraId="7064EAB1" w14:textId="3353B60B" w:rsidR="00BC3926" w:rsidRPr="00EA6419" w:rsidRDefault="00BC3926" w:rsidP="00C939C5">
            <w:pPr>
              <w:rPr>
                <w:rFonts w:ascii="Arial" w:hAnsi="Arial" w:cs="Arial"/>
                <w:b/>
                <w:bCs/>
              </w:rPr>
            </w:pPr>
            <w:r w:rsidRPr="00EA6419">
              <w:rPr>
                <w:rFonts w:ascii="Arial" w:hAnsi="Arial" w:cs="Arial"/>
                <w:b/>
                <w:bCs/>
              </w:rPr>
              <w:t>Versión</w:t>
            </w:r>
          </w:p>
        </w:tc>
        <w:tc>
          <w:tcPr>
            <w:tcW w:w="2003" w:type="dxa"/>
            <w:shd w:val="clear" w:color="auto" w:fill="33CCCC"/>
            <w:vAlign w:val="center"/>
          </w:tcPr>
          <w:p w14:paraId="6A8C6C8D" w14:textId="2BC5EF50" w:rsidR="00BC3926" w:rsidRPr="00EA6419" w:rsidRDefault="00BC3926" w:rsidP="00C939C5">
            <w:pPr>
              <w:rPr>
                <w:rFonts w:ascii="Arial" w:hAnsi="Arial" w:cs="Arial"/>
                <w:b/>
                <w:bCs/>
              </w:rPr>
            </w:pPr>
            <w:r w:rsidRPr="00EA6419">
              <w:rPr>
                <w:rFonts w:ascii="Arial" w:hAnsi="Arial" w:cs="Arial"/>
                <w:b/>
                <w:bCs/>
              </w:rPr>
              <w:t>Fecha</w:t>
            </w:r>
          </w:p>
        </w:tc>
        <w:tc>
          <w:tcPr>
            <w:tcW w:w="9344" w:type="dxa"/>
            <w:gridSpan w:val="4"/>
            <w:shd w:val="clear" w:color="auto" w:fill="33CCCC"/>
            <w:vAlign w:val="center"/>
          </w:tcPr>
          <w:p w14:paraId="282D5EED" w14:textId="0DD8DACA" w:rsidR="00BC3926" w:rsidRPr="00EA6419" w:rsidRDefault="00BC3926" w:rsidP="00C939C5">
            <w:pPr>
              <w:rPr>
                <w:rFonts w:ascii="Arial" w:hAnsi="Arial" w:cs="Arial"/>
                <w:b/>
                <w:bCs/>
              </w:rPr>
            </w:pPr>
            <w:r w:rsidRPr="00EA6419">
              <w:rPr>
                <w:rFonts w:ascii="Arial" w:hAnsi="Arial" w:cs="Arial"/>
                <w:b/>
                <w:bCs/>
              </w:rPr>
              <w:t>Descripción de los cambios</w:t>
            </w:r>
          </w:p>
        </w:tc>
      </w:tr>
      <w:tr w:rsidR="00BC3926" w:rsidRPr="00EA6419" w14:paraId="56F3B4E9" w14:textId="77777777" w:rsidTr="2EF290D4">
        <w:trPr>
          <w:trHeight w:val="313"/>
        </w:trPr>
        <w:tc>
          <w:tcPr>
            <w:tcW w:w="1536" w:type="dxa"/>
            <w:vAlign w:val="center"/>
          </w:tcPr>
          <w:p w14:paraId="235122F0" w14:textId="44805DD3" w:rsidR="00BC3926" w:rsidRPr="00EA6419" w:rsidRDefault="00EA6419" w:rsidP="00C939C5">
            <w:pPr>
              <w:rPr>
                <w:rFonts w:ascii="Arial" w:hAnsi="Arial" w:cs="Arial"/>
              </w:rPr>
            </w:pPr>
            <w:r w:rsidRPr="00EA6419">
              <w:rPr>
                <w:rFonts w:ascii="Arial" w:hAnsi="Arial" w:cs="Arial"/>
              </w:rPr>
              <w:t>1</w:t>
            </w:r>
          </w:p>
        </w:tc>
        <w:tc>
          <w:tcPr>
            <w:tcW w:w="2003" w:type="dxa"/>
            <w:vAlign w:val="center"/>
          </w:tcPr>
          <w:p w14:paraId="7AB60B2E" w14:textId="55BCBFD8" w:rsidR="00BC3926" w:rsidRPr="00EA6419" w:rsidRDefault="00867C68" w:rsidP="00C939C5">
            <w:pPr>
              <w:rPr>
                <w:rFonts w:ascii="Arial" w:hAnsi="Arial" w:cs="Arial"/>
              </w:rPr>
            </w:pPr>
            <w:r>
              <w:rPr>
                <w:rFonts w:ascii="Arial" w:hAnsi="Arial" w:cs="Arial"/>
              </w:rPr>
              <w:t>31/03/2026</w:t>
            </w:r>
          </w:p>
        </w:tc>
        <w:tc>
          <w:tcPr>
            <w:tcW w:w="9344" w:type="dxa"/>
            <w:gridSpan w:val="4"/>
            <w:vAlign w:val="center"/>
          </w:tcPr>
          <w:p w14:paraId="0C48BBDF" w14:textId="77777777" w:rsidR="00EA6419" w:rsidRPr="00EA6419" w:rsidRDefault="5E394D1D" w:rsidP="00EA6419">
            <w:pPr>
              <w:rPr>
                <w:rFonts w:ascii="Arial" w:eastAsia="Arial" w:hAnsi="Arial" w:cs="Arial"/>
              </w:rPr>
            </w:pPr>
            <w:r w:rsidRPr="00EA6419">
              <w:rPr>
                <w:rStyle w:val="normaltextrun"/>
                <w:rFonts w:ascii="Arial" w:hAnsi="Arial" w:cs="Arial"/>
                <w:color w:val="000000"/>
                <w:shd w:val="clear" w:color="auto" w:fill="FFFFFF"/>
              </w:rPr>
              <w:t xml:space="preserve">Se crea el procedimiento a partir de la información documentada en el proceso </w:t>
            </w:r>
            <w:r w:rsidR="31691F8C" w:rsidRPr="00EA6419">
              <w:rPr>
                <w:rStyle w:val="normaltextrun"/>
                <w:rFonts w:ascii="Arial" w:eastAsia="Arial" w:hAnsi="Arial" w:cs="Arial"/>
                <w:color w:val="000000"/>
                <w:shd w:val="clear" w:color="auto" w:fill="FFFFFF"/>
              </w:rPr>
              <w:t>Gobernanza y gestión de datos e información (DIPR01)</w:t>
            </w:r>
            <w:r w:rsidRPr="00EA6419">
              <w:rPr>
                <w:rStyle w:val="normaltextrun"/>
                <w:rFonts w:ascii="Arial" w:hAnsi="Arial" w:cs="Arial"/>
                <w:color w:val="000000"/>
                <w:shd w:val="clear" w:color="auto" w:fill="FFFFFF"/>
              </w:rPr>
              <w:t xml:space="preserve"> en la actividad clave de éxito</w:t>
            </w:r>
            <w:r w:rsidR="079038DC" w:rsidRPr="00EA6419">
              <w:rPr>
                <w:rStyle w:val="normaltextrun"/>
                <w:rFonts w:ascii="Arial" w:hAnsi="Arial" w:cs="Arial"/>
                <w:color w:val="000000"/>
                <w:shd w:val="clear" w:color="auto" w:fill="FFFFFF"/>
              </w:rPr>
              <w:t xml:space="preserve"> “Gestionar Seguridad y Privacidad de los Datos e Información”</w:t>
            </w:r>
            <w:r w:rsidR="00EA6419" w:rsidRPr="00EA6419">
              <w:rPr>
                <w:rStyle w:val="normaltextrun"/>
                <w:rFonts w:ascii="Arial" w:hAnsi="Arial" w:cs="Arial"/>
                <w:color w:val="000000"/>
                <w:shd w:val="clear" w:color="auto" w:fill="FFFFFF"/>
              </w:rPr>
              <w:t>.</w:t>
            </w:r>
            <w:r w:rsidR="00EA6419" w:rsidRPr="00EA6419">
              <w:rPr>
                <w:rStyle w:val="normaltextrun"/>
                <w:rFonts w:ascii="Arial" w:hAnsi="Arial" w:cs="Arial"/>
                <w:color w:val="000000"/>
              </w:rPr>
              <w:t xml:space="preserve"> </w:t>
            </w:r>
            <w:r w:rsidR="00EA6419" w:rsidRPr="00EA6419">
              <w:rPr>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w:t>
            </w:r>
            <w:r w:rsidR="00EA6419" w:rsidRPr="00EA6419">
              <w:rPr>
                <w:rFonts w:ascii="Arial" w:eastAsia="Arial" w:hAnsi="Arial" w:cs="Arial"/>
              </w:rPr>
              <w:t>e suprime la codificación de los formatos y otros documentos enunciados conservando únicamente el nombre.</w:t>
            </w:r>
          </w:p>
          <w:p w14:paraId="5D5C210B" w14:textId="77777777" w:rsidR="00EA6419" w:rsidRPr="00EA6419" w:rsidRDefault="00EA6419" w:rsidP="00EA6419">
            <w:pPr>
              <w:rPr>
                <w:rFonts w:ascii="Arial" w:hAnsi="Arial" w:cs="Arial"/>
              </w:rPr>
            </w:pPr>
          </w:p>
          <w:p w14:paraId="34D7D42E" w14:textId="326C8454" w:rsidR="00BC3926" w:rsidRPr="00EA6419" w:rsidRDefault="00EA6419" w:rsidP="00EA6419">
            <w:pPr>
              <w:rPr>
                <w:rFonts w:ascii="Arial" w:hAnsi="Arial" w:cs="Arial"/>
                <w:b/>
                <w:bCs/>
              </w:rPr>
            </w:pPr>
            <w:r w:rsidRPr="00EA6419">
              <w:rPr>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w:t>
            </w:r>
            <w:r w:rsidRPr="00EA6419">
              <w:rPr>
                <w:rFonts w:ascii="Arial" w:eastAsia="Arial" w:hAnsi="Arial" w:cs="Arial"/>
              </w:rPr>
              <w:t xml:space="preserve">as </w:t>
            </w:r>
            <w:r w:rsidRPr="00EA6419">
              <w:rPr>
                <w:rFonts w:ascii="Arial" w:eastAsia="Arial" w:hAnsi="Arial" w:cs="Arial"/>
              </w:rPr>
              <w:lastRenderedPageBreak/>
              <w:t>versiones obsoletas de los documentos se encuentran bajo custodia de la Subdirección de tecnologías de la información de acuerdo con lo solicitado por la Oficina asesora de planeación mediante radicado 20251200200131673.</w:t>
            </w:r>
          </w:p>
        </w:tc>
      </w:tr>
      <w:tr w:rsidR="00BC3926" w:rsidRPr="00EA6419" w14:paraId="4B989499" w14:textId="77777777" w:rsidTr="2EF290D4">
        <w:trPr>
          <w:trHeight w:val="313"/>
        </w:trPr>
        <w:tc>
          <w:tcPr>
            <w:tcW w:w="3539" w:type="dxa"/>
            <w:gridSpan w:val="2"/>
            <w:shd w:val="clear" w:color="auto" w:fill="33CCCC"/>
            <w:vAlign w:val="center"/>
          </w:tcPr>
          <w:p w14:paraId="7F535F72" w14:textId="77777777" w:rsidR="00BC3926" w:rsidRPr="00EA6419" w:rsidRDefault="00BC3926" w:rsidP="00C939C5">
            <w:pPr>
              <w:rPr>
                <w:rFonts w:ascii="Arial" w:hAnsi="Arial" w:cs="Arial"/>
                <w:b/>
                <w:bCs/>
              </w:rPr>
            </w:pPr>
            <w:r w:rsidRPr="00EA6419">
              <w:rPr>
                <w:rFonts w:ascii="Arial" w:hAnsi="Arial" w:cs="Arial"/>
                <w:b/>
                <w:bCs/>
              </w:rPr>
              <w:lastRenderedPageBreak/>
              <w:t>Elaboró</w:t>
            </w:r>
          </w:p>
        </w:tc>
        <w:tc>
          <w:tcPr>
            <w:tcW w:w="4951" w:type="dxa"/>
            <w:gridSpan w:val="2"/>
            <w:shd w:val="clear" w:color="auto" w:fill="33CCCC"/>
            <w:vAlign w:val="center"/>
          </w:tcPr>
          <w:p w14:paraId="3C81A3A2" w14:textId="77777777" w:rsidR="00BC3926" w:rsidRPr="00EA6419" w:rsidRDefault="00BC3926" w:rsidP="00C939C5">
            <w:pPr>
              <w:rPr>
                <w:rFonts w:ascii="Arial" w:hAnsi="Arial" w:cs="Arial"/>
                <w:b/>
                <w:bCs/>
              </w:rPr>
            </w:pPr>
            <w:r w:rsidRPr="00EA6419">
              <w:rPr>
                <w:rFonts w:ascii="Arial" w:hAnsi="Arial" w:cs="Arial"/>
                <w:b/>
                <w:bCs/>
              </w:rPr>
              <w:t>Revisó</w:t>
            </w:r>
          </w:p>
        </w:tc>
        <w:tc>
          <w:tcPr>
            <w:tcW w:w="4393" w:type="dxa"/>
            <w:gridSpan w:val="2"/>
            <w:shd w:val="clear" w:color="auto" w:fill="33CCCC"/>
            <w:vAlign w:val="center"/>
          </w:tcPr>
          <w:p w14:paraId="546F4435" w14:textId="77777777" w:rsidR="00BC3926" w:rsidRPr="00EA6419" w:rsidRDefault="00BC3926" w:rsidP="00C939C5">
            <w:pPr>
              <w:rPr>
                <w:rFonts w:ascii="Arial" w:hAnsi="Arial" w:cs="Arial"/>
                <w:b/>
                <w:bCs/>
              </w:rPr>
            </w:pPr>
            <w:r w:rsidRPr="00EA6419">
              <w:rPr>
                <w:rFonts w:ascii="Arial" w:hAnsi="Arial" w:cs="Arial"/>
                <w:b/>
                <w:bCs/>
              </w:rPr>
              <w:t>Aprobó</w:t>
            </w:r>
          </w:p>
        </w:tc>
      </w:tr>
      <w:tr w:rsidR="00F915E7" w:rsidRPr="00EA6419" w14:paraId="273DDF4F" w14:textId="77777777" w:rsidTr="2EF290D4">
        <w:trPr>
          <w:trHeight w:val="332"/>
        </w:trPr>
        <w:tc>
          <w:tcPr>
            <w:tcW w:w="1536" w:type="dxa"/>
            <w:vAlign w:val="center"/>
          </w:tcPr>
          <w:p w14:paraId="37898846" w14:textId="77777777" w:rsidR="00F915E7" w:rsidRPr="00EA6419" w:rsidRDefault="00F915E7" w:rsidP="00F915E7">
            <w:pPr>
              <w:rPr>
                <w:rFonts w:ascii="Arial" w:hAnsi="Arial" w:cs="Arial"/>
                <w:b/>
                <w:bCs/>
              </w:rPr>
            </w:pPr>
            <w:r w:rsidRPr="00EA6419">
              <w:rPr>
                <w:rFonts w:ascii="Arial" w:hAnsi="Arial" w:cs="Arial"/>
                <w:b/>
                <w:bCs/>
              </w:rPr>
              <w:t>Nombre</w:t>
            </w:r>
          </w:p>
        </w:tc>
        <w:tc>
          <w:tcPr>
            <w:tcW w:w="2003" w:type="dxa"/>
            <w:vMerge w:val="restart"/>
            <w:vAlign w:val="center"/>
          </w:tcPr>
          <w:p w14:paraId="109416FE" w14:textId="33EBD245" w:rsidR="00F915E7" w:rsidRPr="00EA6419" w:rsidRDefault="00F915E7" w:rsidP="00F915E7">
            <w:pPr>
              <w:spacing w:line="360" w:lineRule="auto"/>
              <w:rPr>
                <w:rFonts w:ascii="Arial" w:eastAsia="Arial" w:hAnsi="Arial" w:cs="Arial"/>
                <w:color w:val="000000" w:themeColor="text1"/>
              </w:rPr>
            </w:pPr>
            <w:r w:rsidRPr="00EA6419">
              <w:rPr>
                <w:rFonts w:ascii="Arial" w:eastAsia="Arial" w:hAnsi="Arial" w:cs="Arial"/>
                <w:color w:val="000000" w:themeColor="text1"/>
              </w:rPr>
              <w:t>Información disponible en el SharePoint de la OAP a través del formato DEFT15 </w:t>
            </w:r>
          </w:p>
        </w:tc>
        <w:tc>
          <w:tcPr>
            <w:tcW w:w="2293" w:type="dxa"/>
            <w:vAlign w:val="center"/>
          </w:tcPr>
          <w:p w14:paraId="06C86144" w14:textId="77777777" w:rsidR="00F915E7" w:rsidRPr="00EA6419" w:rsidRDefault="00F915E7" w:rsidP="00F915E7">
            <w:pPr>
              <w:rPr>
                <w:rFonts w:ascii="Arial" w:hAnsi="Arial" w:cs="Arial"/>
                <w:color w:val="7F7F7F" w:themeColor="text1" w:themeTint="80"/>
              </w:rPr>
            </w:pPr>
            <w:r w:rsidRPr="00EA6419">
              <w:rPr>
                <w:rFonts w:ascii="Arial" w:hAnsi="Arial" w:cs="Arial"/>
                <w:b/>
                <w:bCs/>
              </w:rPr>
              <w:t>Nombre</w:t>
            </w:r>
          </w:p>
        </w:tc>
        <w:tc>
          <w:tcPr>
            <w:tcW w:w="2658" w:type="dxa"/>
            <w:vMerge w:val="restart"/>
            <w:vAlign w:val="center"/>
          </w:tcPr>
          <w:p w14:paraId="1A68E13A" w14:textId="6B994306" w:rsidR="00F915E7" w:rsidRPr="00EA6419" w:rsidRDefault="00F915E7" w:rsidP="00F915E7">
            <w:pPr>
              <w:spacing w:line="360" w:lineRule="auto"/>
              <w:rPr>
                <w:rFonts w:ascii="Arial" w:eastAsia="Arial" w:hAnsi="Arial" w:cs="Arial"/>
                <w:color w:val="000000" w:themeColor="text1"/>
              </w:rPr>
            </w:pPr>
            <w:r w:rsidRPr="00EA6419">
              <w:rPr>
                <w:rFonts w:ascii="Arial" w:eastAsia="Arial" w:hAnsi="Arial" w:cs="Arial"/>
                <w:color w:val="000000" w:themeColor="text1"/>
              </w:rPr>
              <w:t>Información disponible en el SharePoint de la OAP a través del formato DEFT15 </w:t>
            </w:r>
          </w:p>
        </w:tc>
        <w:tc>
          <w:tcPr>
            <w:tcW w:w="1466" w:type="dxa"/>
            <w:vAlign w:val="center"/>
          </w:tcPr>
          <w:p w14:paraId="7BD4405E" w14:textId="77777777" w:rsidR="00F915E7" w:rsidRPr="00EA6419" w:rsidRDefault="00F915E7" w:rsidP="00F915E7">
            <w:pPr>
              <w:rPr>
                <w:rFonts w:ascii="Arial" w:hAnsi="Arial" w:cs="Arial"/>
                <w:color w:val="7F7F7F" w:themeColor="text1" w:themeTint="80"/>
              </w:rPr>
            </w:pPr>
            <w:r w:rsidRPr="00EA6419">
              <w:rPr>
                <w:rFonts w:ascii="Arial" w:hAnsi="Arial" w:cs="Arial"/>
                <w:b/>
                <w:bCs/>
              </w:rPr>
              <w:t>Nombre</w:t>
            </w:r>
          </w:p>
        </w:tc>
        <w:tc>
          <w:tcPr>
            <w:tcW w:w="2927" w:type="dxa"/>
            <w:vMerge w:val="restart"/>
            <w:vAlign w:val="center"/>
          </w:tcPr>
          <w:p w14:paraId="07D5AC31" w14:textId="23F142BC" w:rsidR="00F915E7" w:rsidRPr="00EA6419" w:rsidRDefault="00F915E7" w:rsidP="00F915E7">
            <w:pPr>
              <w:spacing w:line="360" w:lineRule="auto"/>
              <w:rPr>
                <w:rFonts w:ascii="Arial" w:eastAsia="Arial" w:hAnsi="Arial" w:cs="Arial"/>
                <w:color w:val="000000" w:themeColor="text1"/>
              </w:rPr>
            </w:pPr>
            <w:r w:rsidRPr="00EA6419">
              <w:rPr>
                <w:rFonts w:ascii="Arial" w:eastAsia="Arial" w:hAnsi="Arial" w:cs="Arial"/>
                <w:color w:val="000000" w:themeColor="text1"/>
              </w:rPr>
              <w:t>Información disponible en el SharePoint de la OAP a través del formato DEFT15 </w:t>
            </w:r>
          </w:p>
        </w:tc>
      </w:tr>
      <w:tr w:rsidR="00F915E7" w:rsidRPr="00EA6419" w14:paraId="5983AC9B" w14:textId="77777777" w:rsidTr="2EF290D4">
        <w:trPr>
          <w:trHeight w:val="355"/>
        </w:trPr>
        <w:tc>
          <w:tcPr>
            <w:tcW w:w="1536" w:type="dxa"/>
            <w:vAlign w:val="center"/>
          </w:tcPr>
          <w:p w14:paraId="0BAC9280" w14:textId="77777777" w:rsidR="00F915E7" w:rsidRPr="00EA6419" w:rsidRDefault="00F915E7" w:rsidP="00F915E7">
            <w:pPr>
              <w:rPr>
                <w:rFonts w:ascii="Arial" w:hAnsi="Arial" w:cs="Arial"/>
                <w:b/>
                <w:bCs/>
              </w:rPr>
            </w:pPr>
            <w:r w:rsidRPr="00EA6419">
              <w:rPr>
                <w:rFonts w:ascii="Arial" w:hAnsi="Arial" w:cs="Arial"/>
                <w:b/>
                <w:bCs/>
              </w:rPr>
              <w:t>Cargo</w:t>
            </w:r>
          </w:p>
        </w:tc>
        <w:tc>
          <w:tcPr>
            <w:tcW w:w="2003" w:type="dxa"/>
            <w:vMerge/>
            <w:vAlign w:val="center"/>
          </w:tcPr>
          <w:p w14:paraId="5606967F" w14:textId="1D4FC2D7" w:rsidR="00F915E7" w:rsidRPr="00EA6419" w:rsidRDefault="00F915E7" w:rsidP="00F915E7">
            <w:pPr>
              <w:spacing w:line="360" w:lineRule="auto"/>
              <w:rPr>
                <w:rFonts w:ascii="Arial" w:eastAsia="Arial" w:hAnsi="Arial" w:cs="Arial"/>
                <w:color w:val="7F7F7F" w:themeColor="text1" w:themeTint="80"/>
                <w:lang w:val="es-ES"/>
              </w:rPr>
            </w:pPr>
          </w:p>
        </w:tc>
        <w:tc>
          <w:tcPr>
            <w:tcW w:w="2293" w:type="dxa"/>
            <w:vAlign w:val="center"/>
          </w:tcPr>
          <w:p w14:paraId="2FA3FC72" w14:textId="77777777" w:rsidR="00F915E7" w:rsidRPr="00EA6419" w:rsidRDefault="00F915E7" w:rsidP="00F915E7">
            <w:pPr>
              <w:rPr>
                <w:rFonts w:ascii="Arial" w:hAnsi="Arial" w:cs="Arial"/>
                <w:color w:val="7F7F7F" w:themeColor="text1" w:themeTint="80"/>
              </w:rPr>
            </w:pPr>
            <w:r w:rsidRPr="00EA6419">
              <w:rPr>
                <w:rFonts w:ascii="Arial" w:hAnsi="Arial" w:cs="Arial"/>
                <w:b/>
                <w:bCs/>
              </w:rPr>
              <w:t>Cargo</w:t>
            </w:r>
          </w:p>
        </w:tc>
        <w:tc>
          <w:tcPr>
            <w:tcW w:w="2658" w:type="dxa"/>
            <w:vMerge/>
            <w:vAlign w:val="center"/>
          </w:tcPr>
          <w:p w14:paraId="36F81F47" w14:textId="6C57B812" w:rsidR="00F915E7" w:rsidRPr="00EA6419" w:rsidRDefault="00F915E7" w:rsidP="00F915E7">
            <w:pPr>
              <w:spacing w:line="360" w:lineRule="auto"/>
              <w:rPr>
                <w:rFonts w:ascii="Arial" w:eastAsia="Arial" w:hAnsi="Arial" w:cs="Arial"/>
                <w:color w:val="7F7F7F" w:themeColor="text1" w:themeTint="80"/>
                <w:lang w:val="es-ES"/>
              </w:rPr>
            </w:pPr>
          </w:p>
        </w:tc>
        <w:tc>
          <w:tcPr>
            <w:tcW w:w="1466" w:type="dxa"/>
            <w:vAlign w:val="center"/>
          </w:tcPr>
          <w:p w14:paraId="5FBC66A2" w14:textId="77777777" w:rsidR="00F915E7" w:rsidRPr="00EA6419" w:rsidRDefault="00F915E7" w:rsidP="00F915E7">
            <w:pPr>
              <w:rPr>
                <w:rFonts w:ascii="Arial" w:hAnsi="Arial" w:cs="Arial"/>
                <w:color w:val="7F7F7F" w:themeColor="text1" w:themeTint="80"/>
              </w:rPr>
            </w:pPr>
            <w:r w:rsidRPr="00EA6419">
              <w:rPr>
                <w:rFonts w:ascii="Arial" w:hAnsi="Arial" w:cs="Arial"/>
                <w:b/>
                <w:bCs/>
              </w:rPr>
              <w:t>Cargo</w:t>
            </w:r>
          </w:p>
        </w:tc>
        <w:tc>
          <w:tcPr>
            <w:tcW w:w="2927" w:type="dxa"/>
            <w:vMerge/>
            <w:vAlign w:val="center"/>
          </w:tcPr>
          <w:p w14:paraId="2FC62E6B" w14:textId="3B1CA839" w:rsidR="00F915E7" w:rsidRPr="00EA6419" w:rsidRDefault="00F915E7" w:rsidP="00F915E7">
            <w:pPr>
              <w:spacing w:line="360" w:lineRule="auto"/>
              <w:rPr>
                <w:rFonts w:ascii="Arial" w:eastAsia="Arial" w:hAnsi="Arial" w:cs="Arial"/>
                <w:color w:val="7F7F7F" w:themeColor="text1" w:themeTint="80"/>
                <w:lang w:val="es-ES"/>
              </w:rPr>
            </w:pPr>
          </w:p>
        </w:tc>
      </w:tr>
      <w:tr w:rsidR="00F915E7" w:rsidRPr="00EA6419" w14:paraId="2BB01195" w14:textId="77777777" w:rsidTr="2EF290D4">
        <w:trPr>
          <w:trHeight w:val="332"/>
        </w:trPr>
        <w:tc>
          <w:tcPr>
            <w:tcW w:w="1536" w:type="dxa"/>
            <w:vAlign w:val="center"/>
          </w:tcPr>
          <w:p w14:paraId="2B819AA4" w14:textId="77777777" w:rsidR="00F915E7" w:rsidRPr="00EA6419" w:rsidRDefault="00F915E7" w:rsidP="00F915E7">
            <w:pPr>
              <w:rPr>
                <w:rFonts w:ascii="Arial" w:hAnsi="Arial" w:cs="Arial"/>
                <w:b/>
                <w:bCs/>
              </w:rPr>
            </w:pPr>
            <w:r w:rsidRPr="00EA6419">
              <w:rPr>
                <w:rFonts w:ascii="Arial" w:hAnsi="Arial" w:cs="Arial"/>
                <w:b/>
                <w:bCs/>
              </w:rPr>
              <w:t>Fecha</w:t>
            </w:r>
          </w:p>
        </w:tc>
        <w:tc>
          <w:tcPr>
            <w:tcW w:w="2003" w:type="dxa"/>
            <w:vMerge/>
            <w:vAlign w:val="center"/>
          </w:tcPr>
          <w:p w14:paraId="29C8DC4A" w14:textId="17F27133" w:rsidR="00F915E7" w:rsidRPr="00EA6419" w:rsidRDefault="00F915E7" w:rsidP="00F915E7">
            <w:pPr>
              <w:spacing w:line="360" w:lineRule="auto"/>
              <w:rPr>
                <w:rFonts w:ascii="Arial" w:eastAsia="Arial" w:hAnsi="Arial" w:cs="Arial"/>
                <w:color w:val="000000" w:themeColor="text1"/>
              </w:rPr>
            </w:pPr>
          </w:p>
        </w:tc>
        <w:tc>
          <w:tcPr>
            <w:tcW w:w="2293" w:type="dxa"/>
            <w:vAlign w:val="center"/>
          </w:tcPr>
          <w:p w14:paraId="3ED6B167" w14:textId="77777777" w:rsidR="00F915E7" w:rsidRPr="00EA6419" w:rsidRDefault="00F915E7" w:rsidP="00F915E7">
            <w:pPr>
              <w:rPr>
                <w:rFonts w:ascii="Arial" w:hAnsi="Arial" w:cs="Arial"/>
                <w:b/>
                <w:bCs/>
              </w:rPr>
            </w:pPr>
            <w:r w:rsidRPr="00EA6419">
              <w:rPr>
                <w:rFonts w:ascii="Arial" w:hAnsi="Arial" w:cs="Arial"/>
                <w:b/>
                <w:bCs/>
              </w:rPr>
              <w:t>Fecha</w:t>
            </w:r>
          </w:p>
        </w:tc>
        <w:tc>
          <w:tcPr>
            <w:tcW w:w="2658" w:type="dxa"/>
            <w:vMerge/>
            <w:vAlign w:val="center"/>
          </w:tcPr>
          <w:p w14:paraId="4D6098BB" w14:textId="7C3D78D5" w:rsidR="00F915E7" w:rsidRPr="00EA6419" w:rsidRDefault="00F915E7" w:rsidP="00F915E7">
            <w:pPr>
              <w:rPr>
                <w:rFonts w:ascii="Arial" w:hAnsi="Arial" w:cs="Arial"/>
                <w:color w:val="7F7F7F" w:themeColor="text1" w:themeTint="80"/>
              </w:rPr>
            </w:pPr>
          </w:p>
        </w:tc>
        <w:tc>
          <w:tcPr>
            <w:tcW w:w="1466" w:type="dxa"/>
            <w:vAlign w:val="center"/>
          </w:tcPr>
          <w:p w14:paraId="0DD00F62" w14:textId="77777777" w:rsidR="00F915E7" w:rsidRPr="00EA6419" w:rsidRDefault="00F915E7" w:rsidP="00F915E7">
            <w:pPr>
              <w:rPr>
                <w:rFonts w:ascii="Arial" w:hAnsi="Arial" w:cs="Arial"/>
                <w:b/>
                <w:bCs/>
              </w:rPr>
            </w:pPr>
            <w:r w:rsidRPr="00EA6419">
              <w:rPr>
                <w:rFonts w:ascii="Arial" w:hAnsi="Arial" w:cs="Arial"/>
                <w:b/>
                <w:bCs/>
              </w:rPr>
              <w:t>Fecha</w:t>
            </w:r>
          </w:p>
        </w:tc>
        <w:tc>
          <w:tcPr>
            <w:tcW w:w="2927" w:type="dxa"/>
            <w:vMerge/>
            <w:vAlign w:val="center"/>
          </w:tcPr>
          <w:p w14:paraId="01EAE717" w14:textId="16425E85" w:rsidR="00F915E7" w:rsidRPr="00EA6419" w:rsidRDefault="00F915E7" w:rsidP="00F915E7">
            <w:pPr>
              <w:rPr>
                <w:rFonts w:ascii="Arial" w:hAnsi="Arial" w:cs="Arial"/>
                <w:color w:val="7F7F7F" w:themeColor="text1" w:themeTint="80"/>
              </w:rPr>
            </w:pPr>
          </w:p>
        </w:tc>
      </w:tr>
    </w:tbl>
    <w:p w14:paraId="17BFD451" w14:textId="07B2E10A"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64A0" w14:textId="77777777" w:rsidR="0079587A" w:rsidRDefault="0079587A" w:rsidP="00781A83">
      <w:pPr>
        <w:spacing w:after="0" w:line="240" w:lineRule="auto"/>
      </w:pPr>
      <w:r>
        <w:separator/>
      </w:r>
    </w:p>
  </w:endnote>
  <w:endnote w:type="continuationSeparator" w:id="0">
    <w:p w14:paraId="3DC024CD" w14:textId="77777777" w:rsidR="0079587A" w:rsidRDefault="0079587A" w:rsidP="00781A83">
      <w:pPr>
        <w:spacing w:after="0" w:line="240" w:lineRule="auto"/>
      </w:pPr>
      <w:r>
        <w:continuationSeparator/>
      </w:r>
    </w:p>
  </w:endnote>
  <w:endnote w:type="continuationNotice" w:id="1">
    <w:p w14:paraId="251470B6" w14:textId="77777777" w:rsidR="0079587A" w:rsidRDefault="0079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9D48" w14:textId="77777777" w:rsidR="0079587A" w:rsidRDefault="0079587A" w:rsidP="00781A83">
      <w:pPr>
        <w:spacing w:after="0" w:line="240" w:lineRule="auto"/>
      </w:pPr>
      <w:r>
        <w:separator/>
      </w:r>
    </w:p>
  </w:footnote>
  <w:footnote w:type="continuationSeparator" w:id="0">
    <w:p w14:paraId="5C92C37A" w14:textId="77777777" w:rsidR="0079587A" w:rsidRDefault="0079587A" w:rsidP="00781A83">
      <w:pPr>
        <w:spacing w:after="0" w:line="240" w:lineRule="auto"/>
      </w:pPr>
      <w:r>
        <w:continuationSeparator/>
      </w:r>
    </w:p>
  </w:footnote>
  <w:footnote w:type="continuationNotice" w:id="1">
    <w:p w14:paraId="19EB53B7" w14:textId="77777777" w:rsidR="0079587A" w:rsidRDefault="007958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69B3CDF1">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0407A003" w:rsidR="00781A83" w:rsidRPr="00781A83" w:rsidRDefault="69B3CDF1" w:rsidP="1343FE16">
          <w:pPr>
            <w:tabs>
              <w:tab w:val="center" w:pos="4419"/>
              <w:tab w:val="right" w:pos="8838"/>
            </w:tabs>
            <w:jc w:val="center"/>
            <w:rPr>
              <w:rFonts w:ascii="Arial" w:hAnsi="Arial" w:cs="Arial"/>
              <w:b/>
              <w:bCs/>
              <w:highlight w:val="yellow"/>
            </w:rPr>
          </w:pPr>
          <w:r w:rsidRPr="69B3CDF1">
            <w:rPr>
              <w:rFonts w:ascii="Arial" w:hAnsi="Arial" w:cs="Arial"/>
              <w:b/>
              <w:bCs/>
            </w:rPr>
            <w:t>GESTIÓN DE TECNOLOGÍAS DE LA INFORMACIÓN</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51159187" w:rsidR="001A69C4" w:rsidRPr="00CE0D33" w:rsidRDefault="28833ABE" w:rsidP="1343FE16">
          <w:pPr>
            <w:tabs>
              <w:tab w:val="center" w:pos="4419"/>
              <w:tab w:val="right" w:pos="8838"/>
            </w:tabs>
            <w:jc w:val="center"/>
            <w:rPr>
              <w:rFonts w:ascii="Arial" w:hAnsi="Arial" w:cs="Arial"/>
              <w:sz w:val="20"/>
              <w:szCs w:val="20"/>
            </w:rPr>
          </w:pPr>
          <w:r w:rsidRPr="28833ABE">
            <w:rPr>
              <w:rFonts w:ascii="Arial" w:hAnsi="Arial" w:cs="Arial"/>
              <w:sz w:val="20"/>
              <w:szCs w:val="20"/>
            </w:rPr>
            <w:t>E4-PD-4</w:t>
          </w:r>
        </w:p>
      </w:tc>
    </w:tr>
    <w:tr w:rsidR="00781A83" w:rsidRPr="00781A83" w14:paraId="0BA42DA7" w14:textId="77777777" w:rsidTr="69B3CDF1">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58240"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74A310E1" w:rsidR="00781A83" w:rsidRPr="00781A83" w:rsidRDefault="1343FE16" w:rsidP="00A80442">
          <w:pPr>
            <w:tabs>
              <w:tab w:val="center" w:pos="4419"/>
              <w:tab w:val="right" w:pos="8838"/>
            </w:tabs>
            <w:jc w:val="center"/>
            <w:rPr>
              <w:rFonts w:ascii="Arial" w:hAnsi="Arial" w:cs="Arial"/>
              <w:b/>
              <w:bCs/>
            </w:rPr>
          </w:pPr>
          <w:r w:rsidRPr="1343FE16">
            <w:rPr>
              <w:rFonts w:ascii="Arial" w:hAnsi="Arial" w:cs="Arial"/>
              <w:b/>
              <w:bCs/>
            </w:rPr>
            <w:t>PROCEDIMIENTO GESTIONAR SEGURIDAD Y PRIVACIDAD DE LOS DATOS E INFORMACIÓN</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0F3C91E" w:rsidR="00781A83" w:rsidRPr="00617183" w:rsidRDefault="28833ABE" w:rsidP="1343FE16">
          <w:pPr>
            <w:tabs>
              <w:tab w:val="center" w:pos="4419"/>
              <w:tab w:val="right" w:pos="8838"/>
            </w:tabs>
            <w:jc w:val="center"/>
            <w:rPr>
              <w:rFonts w:ascii="Arial" w:hAnsi="Arial" w:cs="Arial"/>
              <w:sz w:val="20"/>
              <w:szCs w:val="20"/>
            </w:rPr>
          </w:pPr>
          <w:r w:rsidRPr="28833ABE">
            <w:rPr>
              <w:rFonts w:ascii="Arial" w:hAnsi="Arial" w:cs="Arial"/>
              <w:sz w:val="20"/>
              <w:szCs w:val="20"/>
            </w:rPr>
            <w:t>1</w:t>
          </w:r>
        </w:p>
      </w:tc>
    </w:tr>
    <w:tr w:rsidR="00781A83" w:rsidRPr="00781A83" w14:paraId="49D2DAAB" w14:textId="77777777" w:rsidTr="69B3CDF1">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44129DB0" w:rsidR="00781A83" w:rsidRPr="00781A83" w:rsidRDefault="69B3CDF1" w:rsidP="1343FE16">
          <w:pPr>
            <w:tabs>
              <w:tab w:val="center" w:pos="4419"/>
              <w:tab w:val="right" w:pos="8838"/>
            </w:tabs>
            <w:jc w:val="center"/>
            <w:rPr>
              <w:rFonts w:ascii="Arial" w:hAnsi="Arial" w:cs="Arial"/>
              <w:sz w:val="20"/>
              <w:szCs w:val="20"/>
            </w:rPr>
          </w:pPr>
          <w:r w:rsidRPr="69B3CDF1">
            <w:rPr>
              <w:rFonts w:ascii="Arial" w:hAnsi="Arial" w:cs="Arial"/>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591470131">
    <w:abstractNumId w:val="0"/>
  </w:num>
  <w:num w:numId="2" w16cid:durableId="82490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513DF"/>
    <w:rsid w:val="00080E46"/>
    <w:rsid w:val="000911BE"/>
    <w:rsid w:val="000B4078"/>
    <w:rsid w:val="000C3B29"/>
    <w:rsid w:val="000D4C44"/>
    <w:rsid w:val="00100BB9"/>
    <w:rsid w:val="00110DE6"/>
    <w:rsid w:val="00134D11"/>
    <w:rsid w:val="00134DC7"/>
    <w:rsid w:val="00136313"/>
    <w:rsid w:val="00142511"/>
    <w:rsid w:val="00153C22"/>
    <w:rsid w:val="00164C0D"/>
    <w:rsid w:val="00190740"/>
    <w:rsid w:val="00193717"/>
    <w:rsid w:val="001A69C4"/>
    <w:rsid w:val="001B7166"/>
    <w:rsid w:val="001C0C07"/>
    <w:rsid w:val="001D79F5"/>
    <w:rsid w:val="001E3926"/>
    <w:rsid w:val="001E7A16"/>
    <w:rsid w:val="001F43F9"/>
    <w:rsid w:val="00203B8B"/>
    <w:rsid w:val="00210FD3"/>
    <w:rsid w:val="00215231"/>
    <w:rsid w:val="00220018"/>
    <w:rsid w:val="00234EFE"/>
    <w:rsid w:val="00245200"/>
    <w:rsid w:val="00246161"/>
    <w:rsid w:val="0024781B"/>
    <w:rsid w:val="002525A8"/>
    <w:rsid w:val="00253BA2"/>
    <w:rsid w:val="00260892"/>
    <w:rsid w:val="002670AF"/>
    <w:rsid w:val="002723E2"/>
    <w:rsid w:val="002B38A4"/>
    <w:rsid w:val="002C4B01"/>
    <w:rsid w:val="002C5DFD"/>
    <w:rsid w:val="002E4B4F"/>
    <w:rsid w:val="002F728A"/>
    <w:rsid w:val="0030784E"/>
    <w:rsid w:val="003131BE"/>
    <w:rsid w:val="00327E08"/>
    <w:rsid w:val="00337812"/>
    <w:rsid w:val="00351805"/>
    <w:rsid w:val="003531CA"/>
    <w:rsid w:val="003537F8"/>
    <w:rsid w:val="00364948"/>
    <w:rsid w:val="003649BF"/>
    <w:rsid w:val="00365E1C"/>
    <w:rsid w:val="00370767"/>
    <w:rsid w:val="003862EF"/>
    <w:rsid w:val="00391895"/>
    <w:rsid w:val="003963E7"/>
    <w:rsid w:val="003A287D"/>
    <w:rsid w:val="003A418B"/>
    <w:rsid w:val="003A7D0A"/>
    <w:rsid w:val="003B4D9A"/>
    <w:rsid w:val="003C071F"/>
    <w:rsid w:val="003C0FE4"/>
    <w:rsid w:val="003C32AF"/>
    <w:rsid w:val="003C5097"/>
    <w:rsid w:val="00426A8C"/>
    <w:rsid w:val="004277C3"/>
    <w:rsid w:val="0044048A"/>
    <w:rsid w:val="00444D26"/>
    <w:rsid w:val="00446B1D"/>
    <w:rsid w:val="004616B6"/>
    <w:rsid w:val="00462FA9"/>
    <w:rsid w:val="00465CFC"/>
    <w:rsid w:val="00475A7E"/>
    <w:rsid w:val="00490AEE"/>
    <w:rsid w:val="00496B70"/>
    <w:rsid w:val="004A58CA"/>
    <w:rsid w:val="004B770A"/>
    <w:rsid w:val="004C0743"/>
    <w:rsid w:val="004C6011"/>
    <w:rsid w:val="004D6DD4"/>
    <w:rsid w:val="004E0B04"/>
    <w:rsid w:val="004E3EE7"/>
    <w:rsid w:val="004E73ED"/>
    <w:rsid w:val="005058D3"/>
    <w:rsid w:val="005129B1"/>
    <w:rsid w:val="00525130"/>
    <w:rsid w:val="005353EF"/>
    <w:rsid w:val="005405A4"/>
    <w:rsid w:val="00543DDD"/>
    <w:rsid w:val="0054483B"/>
    <w:rsid w:val="005601E4"/>
    <w:rsid w:val="00560AE1"/>
    <w:rsid w:val="00567A4D"/>
    <w:rsid w:val="005718D6"/>
    <w:rsid w:val="00581990"/>
    <w:rsid w:val="00585EF8"/>
    <w:rsid w:val="005961D9"/>
    <w:rsid w:val="0059679B"/>
    <w:rsid w:val="005A3C90"/>
    <w:rsid w:val="005C1B50"/>
    <w:rsid w:val="005C1C2D"/>
    <w:rsid w:val="005D3042"/>
    <w:rsid w:val="005E0831"/>
    <w:rsid w:val="005E2D32"/>
    <w:rsid w:val="005E7F1C"/>
    <w:rsid w:val="005F0BB4"/>
    <w:rsid w:val="005F5451"/>
    <w:rsid w:val="0060404B"/>
    <w:rsid w:val="00606858"/>
    <w:rsid w:val="00617183"/>
    <w:rsid w:val="006213F8"/>
    <w:rsid w:val="00632623"/>
    <w:rsid w:val="00643883"/>
    <w:rsid w:val="00654CE9"/>
    <w:rsid w:val="00665D48"/>
    <w:rsid w:val="006822E9"/>
    <w:rsid w:val="006829E7"/>
    <w:rsid w:val="006B72B2"/>
    <w:rsid w:val="006B7F6A"/>
    <w:rsid w:val="006F771E"/>
    <w:rsid w:val="007120B3"/>
    <w:rsid w:val="00712734"/>
    <w:rsid w:val="00722549"/>
    <w:rsid w:val="00725ABE"/>
    <w:rsid w:val="007420EE"/>
    <w:rsid w:val="00754079"/>
    <w:rsid w:val="0076470A"/>
    <w:rsid w:val="00775B09"/>
    <w:rsid w:val="00780F20"/>
    <w:rsid w:val="00781A83"/>
    <w:rsid w:val="00792347"/>
    <w:rsid w:val="0079587A"/>
    <w:rsid w:val="007A6C20"/>
    <w:rsid w:val="007B36DD"/>
    <w:rsid w:val="007B75A0"/>
    <w:rsid w:val="007B7BF7"/>
    <w:rsid w:val="007D68C3"/>
    <w:rsid w:val="007E2E39"/>
    <w:rsid w:val="007E334D"/>
    <w:rsid w:val="007E6BFB"/>
    <w:rsid w:val="007F26BC"/>
    <w:rsid w:val="007F2D5B"/>
    <w:rsid w:val="007F31BC"/>
    <w:rsid w:val="007F475E"/>
    <w:rsid w:val="007F671A"/>
    <w:rsid w:val="00803AF7"/>
    <w:rsid w:val="008155B2"/>
    <w:rsid w:val="00823192"/>
    <w:rsid w:val="00825B0C"/>
    <w:rsid w:val="00826485"/>
    <w:rsid w:val="00832688"/>
    <w:rsid w:val="00844042"/>
    <w:rsid w:val="00850A22"/>
    <w:rsid w:val="00862357"/>
    <w:rsid w:val="00865718"/>
    <w:rsid w:val="00867C68"/>
    <w:rsid w:val="008702F7"/>
    <w:rsid w:val="00875C0B"/>
    <w:rsid w:val="008914B1"/>
    <w:rsid w:val="008952A9"/>
    <w:rsid w:val="00895D93"/>
    <w:rsid w:val="008A1855"/>
    <w:rsid w:val="008A40F0"/>
    <w:rsid w:val="008A529B"/>
    <w:rsid w:val="008A66BC"/>
    <w:rsid w:val="008B4610"/>
    <w:rsid w:val="008C62DE"/>
    <w:rsid w:val="008C7B7E"/>
    <w:rsid w:val="008D0159"/>
    <w:rsid w:val="008E2C67"/>
    <w:rsid w:val="008E3C55"/>
    <w:rsid w:val="008E5C52"/>
    <w:rsid w:val="00903DFA"/>
    <w:rsid w:val="00904F14"/>
    <w:rsid w:val="00905FE6"/>
    <w:rsid w:val="0092152E"/>
    <w:rsid w:val="00925335"/>
    <w:rsid w:val="0093563D"/>
    <w:rsid w:val="00953356"/>
    <w:rsid w:val="00955475"/>
    <w:rsid w:val="00963798"/>
    <w:rsid w:val="0099412B"/>
    <w:rsid w:val="00996CDB"/>
    <w:rsid w:val="009B00BA"/>
    <w:rsid w:val="009B35AF"/>
    <w:rsid w:val="009C48B8"/>
    <w:rsid w:val="009F0F86"/>
    <w:rsid w:val="009F75EA"/>
    <w:rsid w:val="00A16D93"/>
    <w:rsid w:val="00A424BC"/>
    <w:rsid w:val="00A44A79"/>
    <w:rsid w:val="00A516EF"/>
    <w:rsid w:val="00A55E0E"/>
    <w:rsid w:val="00A61AC5"/>
    <w:rsid w:val="00A65735"/>
    <w:rsid w:val="00A67260"/>
    <w:rsid w:val="00A80442"/>
    <w:rsid w:val="00A81987"/>
    <w:rsid w:val="00A83BEB"/>
    <w:rsid w:val="00A855BF"/>
    <w:rsid w:val="00A87D4C"/>
    <w:rsid w:val="00A90B3A"/>
    <w:rsid w:val="00A910A5"/>
    <w:rsid w:val="00AA040E"/>
    <w:rsid w:val="00AC2B97"/>
    <w:rsid w:val="00AC43B7"/>
    <w:rsid w:val="00AD2175"/>
    <w:rsid w:val="00AE4BD1"/>
    <w:rsid w:val="00AF55EA"/>
    <w:rsid w:val="00AF7D06"/>
    <w:rsid w:val="00B0688C"/>
    <w:rsid w:val="00B10814"/>
    <w:rsid w:val="00B1733C"/>
    <w:rsid w:val="00B207E4"/>
    <w:rsid w:val="00B26358"/>
    <w:rsid w:val="00B373FF"/>
    <w:rsid w:val="00B43E75"/>
    <w:rsid w:val="00B44DF0"/>
    <w:rsid w:val="00B72CD9"/>
    <w:rsid w:val="00B85AEE"/>
    <w:rsid w:val="00B86243"/>
    <w:rsid w:val="00B918A0"/>
    <w:rsid w:val="00BB074F"/>
    <w:rsid w:val="00BB5666"/>
    <w:rsid w:val="00BB6F60"/>
    <w:rsid w:val="00BB7790"/>
    <w:rsid w:val="00BC3926"/>
    <w:rsid w:val="00BD4075"/>
    <w:rsid w:val="00BF655C"/>
    <w:rsid w:val="00C0320F"/>
    <w:rsid w:val="00C108A8"/>
    <w:rsid w:val="00C11EAF"/>
    <w:rsid w:val="00C13446"/>
    <w:rsid w:val="00C32F71"/>
    <w:rsid w:val="00C40439"/>
    <w:rsid w:val="00C41D2B"/>
    <w:rsid w:val="00C515C8"/>
    <w:rsid w:val="00C559CD"/>
    <w:rsid w:val="00C733A8"/>
    <w:rsid w:val="00C83DC4"/>
    <w:rsid w:val="00C8476A"/>
    <w:rsid w:val="00C8635F"/>
    <w:rsid w:val="00C939C5"/>
    <w:rsid w:val="00CA3FE2"/>
    <w:rsid w:val="00CB2B73"/>
    <w:rsid w:val="00CC4357"/>
    <w:rsid w:val="00CE0D33"/>
    <w:rsid w:val="00CE1DDD"/>
    <w:rsid w:val="00CE2EE8"/>
    <w:rsid w:val="00CE2F3C"/>
    <w:rsid w:val="00CF08EC"/>
    <w:rsid w:val="00CF1BFC"/>
    <w:rsid w:val="00D1711B"/>
    <w:rsid w:val="00D34ABC"/>
    <w:rsid w:val="00D4156F"/>
    <w:rsid w:val="00D5226E"/>
    <w:rsid w:val="00D540D4"/>
    <w:rsid w:val="00D670B4"/>
    <w:rsid w:val="00D921E9"/>
    <w:rsid w:val="00D9357B"/>
    <w:rsid w:val="00DB00DD"/>
    <w:rsid w:val="00DC07A3"/>
    <w:rsid w:val="00DD229F"/>
    <w:rsid w:val="00DE26C2"/>
    <w:rsid w:val="00DE3139"/>
    <w:rsid w:val="00DF4760"/>
    <w:rsid w:val="00DF653E"/>
    <w:rsid w:val="00DF6608"/>
    <w:rsid w:val="00DF7D87"/>
    <w:rsid w:val="00E064FB"/>
    <w:rsid w:val="00E112DF"/>
    <w:rsid w:val="00E13A50"/>
    <w:rsid w:val="00E13C65"/>
    <w:rsid w:val="00E15836"/>
    <w:rsid w:val="00E1727F"/>
    <w:rsid w:val="00E27E65"/>
    <w:rsid w:val="00E336FA"/>
    <w:rsid w:val="00E42870"/>
    <w:rsid w:val="00E52B64"/>
    <w:rsid w:val="00E5311C"/>
    <w:rsid w:val="00E60910"/>
    <w:rsid w:val="00E6100A"/>
    <w:rsid w:val="00E66531"/>
    <w:rsid w:val="00E668A5"/>
    <w:rsid w:val="00E72AFA"/>
    <w:rsid w:val="00E81CA6"/>
    <w:rsid w:val="00E8302E"/>
    <w:rsid w:val="00E87174"/>
    <w:rsid w:val="00EA0E6B"/>
    <w:rsid w:val="00EA6419"/>
    <w:rsid w:val="00EC510E"/>
    <w:rsid w:val="00ED57F3"/>
    <w:rsid w:val="00EE220B"/>
    <w:rsid w:val="00EF33F3"/>
    <w:rsid w:val="00F00C22"/>
    <w:rsid w:val="00F062FF"/>
    <w:rsid w:val="00F215F3"/>
    <w:rsid w:val="00F23750"/>
    <w:rsid w:val="00F305C9"/>
    <w:rsid w:val="00F37311"/>
    <w:rsid w:val="00F37B04"/>
    <w:rsid w:val="00F60382"/>
    <w:rsid w:val="00F8026F"/>
    <w:rsid w:val="00F80C30"/>
    <w:rsid w:val="00F82D24"/>
    <w:rsid w:val="00F8639D"/>
    <w:rsid w:val="00F915E7"/>
    <w:rsid w:val="00F9194E"/>
    <w:rsid w:val="00FA52CD"/>
    <w:rsid w:val="00FC1756"/>
    <w:rsid w:val="00FD5B16"/>
    <w:rsid w:val="00FE0D16"/>
    <w:rsid w:val="00FF2C1C"/>
    <w:rsid w:val="00FF37F3"/>
    <w:rsid w:val="01868454"/>
    <w:rsid w:val="01E7D8F0"/>
    <w:rsid w:val="041FB10A"/>
    <w:rsid w:val="0523BDF5"/>
    <w:rsid w:val="0524E72A"/>
    <w:rsid w:val="05CCA6C1"/>
    <w:rsid w:val="064E0BAA"/>
    <w:rsid w:val="06952A2F"/>
    <w:rsid w:val="079038DC"/>
    <w:rsid w:val="098E7A4A"/>
    <w:rsid w:val="0B39E86E"/>
    <w:rsid w:val="0BB85ADF"/>
    <w:rsid w:val="0BC9539E"/>
    <w:rsid w:val="0C1460CF"/>
    <w:rsid w:val="0D9C0F3C"/>
    <w:rsid w:val="0DCE4906"/>
    <w:rsid w:val="108E4731"/>
    <w:rsid w:val="11CFFD2D"/>
    <w:rsid w:val="1229C8B2"/>
    <w:rsid w:val="12B9163C"/>
    <w:rsid w:val="1343FE16"/>
    <w:rsid w:val="16AD2412"/>
    <w:rsid w:val="185E46DA"/>
    <w:rsid w:val="1896C8B5"/>
    <w:rsid w:val="19DF5D64"/>
    <w:rsid w:val="1B8821BC"/>
    <w:rsid w:val="1CE9FEC0"/>
    <w:rsid w:val="1D789608"/>
    <w:rsid w:val="1E404063"/>
    <w:rsid w:val="1F6942BE"/>
    <w:rsid w:val="2072B970"/>
    <w:rsid w:val="207BA7E4"/>
    <w:rsid w:val="20B02092"/>
    <w:rsid w:val="21724017"/>
    <w:rsid w:val="24539998"/>
    <w:rsid w:val="24CBE1A4"/>
    <w:rsid w:val="258CBE5D"/>
    <w:rsid w:val="27D4FFE4"/>
    <w:rsid w:val="27FC6AE1"/>
    <w:rsid w:val="28833ABE"/>
    <w:rsid w:val="2A298E40"/>
    <w:rsid w:val="2A78A897"/>
    <w:rsid w:val="2D94BFBD"/>
    <w:rsid w:val="2DA7BACA"/>
    <w:rsid w:val="2EF290D4"/>
    <w:rsid w:val="2FDA65C3"/>
    <w:rsid w:val="301F773D"/>
    <w:rsid w:val="3093F35D"/>
    <w:rsid w:val="31691F8C"/>
    <w:rsid w:val="35264E70"/>
    <w:rsid w:val="35BCD844"/>
    <w:rsid w:val="35DF5F81"/>
    <w:rsid w:val="35E7CC18"/>
    <w:rsid w:val="37D5C0D3"/>
    <w:rsid w:val="37FEF11D"/>
    <w:rsid w:val="39327306"/>
    <w:rsid w:val="3ABD354C"/>
    <w:rsid w:val="3D245BB8"/>
    <w:rsid w:val="3DADD49C"/>
    <w:rsid w:val="3E1652ED"/>
    <w:rsid w:val="3EC5D43C"/>
    <w:rsid w:val="3F4F04D6"/>
    <w:rsid w:val="3F6358FD"/>
    <w:rsid w:val="402AA026"/>
    <w:rsid w:val="406707AD"/>
    <w:rsid w:val="42717D6D"/>
    <w:rsid w:val="4428B71B"/>
    <w:rsid w:val="453DCCE4"/>
    <w:rsid w:val="4667B776"/>
    <w:rsid w:val="469D58E5"/>
    <w:rsid w:val="47A4B375"/>
    <w:rsid w:val="48117636"/>
    <w:rsid w:val="485761B2"/>
    <w:rsid w:val="4BDC08DD"/>
    <w:rsid w:val="4BFC9E6A"/>
    <w:rsid w:val="4C48E335"/>
    <w:rsid w:val="4DAB2B62"/>
    <w:rsid w:val="4DCF5D1F"/>
    <w:rsid w:val="4DECF9FC"/>
    <w:rsid w:val="510E9E31"/>
    <w:rsid w:val="5226B491"/>
    <w:rsid w:val="52E5BFE2"/>
    <w:rsid w:val="52FAE34A"/>
    <w:rsid w:val="53E4F76D"/>
    <w:rsid w:val="53EDABDE"/>
    <w:rsid w:val="54D52EBF"/>
    <w:rsid w:val="57362AF8"/>
    <w:rsid w:val="57400382"/>
    <w:rsid w:val="5D45ED01"/>
    <w:rsid w:val="5E394D1D"/>
    <w:rsid w:val="5E8ED3D4"/>
    <w:rsid w:val="5F4FEF92"/>
    <w:rsid w:val="61D89E22"/>
    <w:rsid w:val="61E233C1"/>
    <w:rsid w:val="629EC38A"/>
    <w:rsid w:val="63467C47"/>
    <w:rsid w:val="64AF32B7"/>
    <w:rsid w:val="64D35C84"/>
    <w:rsid w:val="66CC1B56"/>
    <w:rsid w:val="685340DA"/>
    <w:rsid w:val="68B536D0"/>
    <w:rsid w:val="69B3CDF1"/>
    <w:rsid w:val="6A13AA53"/>
    <w:rsid w:val="6C290A8B"/>
    <w:rsid w:val="6CC9F835"/>
    <w:rsid w:val="6D97DCE4"/>
    <w:rsid w:val="6DD074DF"/>
    <w:rsid w:val="6E8D038D"/>
    <w:rsid w:val="705EF837"/>
    <w:rsid w:val="70DD9BB4"/>
    <w:rsid w:val="715A24D7"/>
    <w:rsid w:val="71E2A3BA"/>
    <w:rsid w:val="73AB2141"/>
    <w:rsid w:val="76C172F3"/>
    <w:rsid w:val="77728C37"/>
    <w:rsid w:val="79897403"/>
    <w:rsid w:val="79ABEF44"/>
    <w:rsid w:val="7A8FE536"/>
    <w:rsid w:val="7B4F4B6B"/>
    <w:rsid w:val="7B98C90A"/>
    <w:rsid w:val="7C1189B0"/>
    <w:rsid w:val="7D0B3F96"/>
    <w:rsid w:val="7E98F1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5A4E3FBA-1B86-4E03-BBC6-CFEEFEA3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customStyle="1" w:styleId="CommentReference">
    <w:name w:val="Comment Reference"/>
    <w:basedOn w:val="Fuentedeprrafopredeter"/>
    <w:uiPriority w:val="99"/>
    <w:semiHidden/>
    <w:unhideWhenUsed/>
    <w:rsid w:val="00203B8B"/>
    <w:rPr>
      <w:sz w:val="16"/>
      <w:szCs w:val="16"/>
    </w:rPr>
  </w:style>
  <w:style w:type="paragraph" w:customStyle="1" w:styleId="CommentText">
    <w:name w:val="Comment Text"/>
    <w:basedOn w:val="Normal"/>
    <w:link w:val="CommentTextChar"/>
    <w:uiPriority w:val="99"/>
    <w:unhideWhenUsed/>
    <w:rsid w:val="00203B8B"/>
    <w:pPr>
      <w:spacing w:line="240" w:lineRule="auto"/>
    </w:pPr>
    <w:rPr>
      <w:sz w:val="20"/>
      <w:szCs w:val="20"/>
    </w:rPr>
  </w:style>
  <w:style w:type="character" w:customStyle="1" w:styleId="CommentTextChar">
    <w:name w:val="Comment Text Char"/>
    <w:basedOn w:val="Fuentedeprrafopredeter"/>
    <w:link w:val="CommentText"/>
    <w:uiPriority w:val="99"/>
    <w:rsid w:val="00203B8B"/>
    <w:rPr>
      <w:sz w:val="20"/>
      <w:szCs w:val="20"/>
    </w:rPr>
  </w:style>
  <w:style w:type="paragraph" w:customStyle="1" w:styleId="CommentSubject">
    <w:name w:val="Comment Subject"/>
    <w:basedOn w:val="CommentText"/>
    <w:next w:val="CommentText"/>
    <w:link w:val="CommentSubjectChar"/>
    <w:uiPriority w:val="99"/>
    <w:semiHidden/>
    <w:unhideWhenUsed/>
    <w:rsid w:val="00203B8B"/>
    <w:rPr>
      <w:b/>
      <w:bCs/>
    </w:rPr>
  </w:style>
  <w:style w:type="character" w:customStyle="1" w:styleId="CommentSubjectChar">
    <w:name w:val="Comment Subject Char"/>
    <w:basedOn w:val="CommentTextChar"/>
    <w:link w:val="CommentSubject"/>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56443547-2954-4FEE-8141-0A173F2E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4.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3519</Words>
  <Characters>19356</Characters>
  <Application>Microsoft Office Word</Application>
  <DocSecurity>0</DocSecurity>
  <Lines>161</Lines>
  <Paragraphs>45</Paragraphs>
  <ScaleCrop>false</ScaleCrop>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31</cp:revision>
  <dcterms:created xsi:type="dcterms:W3CDTF">2025-12-05T23:27:00Z</dcterms:created>
  <dcterms:modified xsi:type="dcterms:W3CDTF">2026-05-25T19:27:00Z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