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FAB1" w14:textId="5765B647" w:rsidR="007A2CBA" w:rsidRPr="007A2CBA" w:rsidRDefault="007A2CBA" w:rsidP="006F091C">
      <w:pPr>
        <w:jc w:val="both"/>
        <w:rPr>
          <w:rFonts w:cs="Arial"/>
          <w:b/>
          <w:bCs/>
          <w:i/>
          <w:iCs/>
          <w:color w:val="000000" w:themeColor="text1"/>
          <w:szCs w:val="24"/>
        </w:rPr>
      </w:pPr>
      <w:bookmarkStart w:id="0" w:name="_Hlk76572557"/>
      <w:bookmarkStart w:id="1" w:name="_Hlk76572625"/>
      <w:r w:rsidRPr="007A2CBA">
        <w:rPr>
          <w:rFonts w:cs="Arial"/>
          <w:b/>
          <w:bCs/>
          <w:i/>
          <w:iCs/>
          <w:color w:val="000000" w:themeColor="text1"/>
          <w:szCs w:val="24"/>
        </w:rPr>
        <w:t>Generalidades</w:t>
      </w:r>
    </w:p>
    <w:p w14:paraId="2CB475A3" w14:textId="6338EE39" w:rsidR="0040005D" w:rsidRPr="000319EB" w:rsidRDefault="0087562F" w:rsidP="006F091C">
      <w:pPr>
        <w:jc w:val="both"/>
        <w:rPr>
          <w:rFonts w:cs="Arial"/>
          <w:color w:val="000000" w:themeColor="text1"/>
          <w:szCs w:val="24"/>
        </w:rPr>
      </w:pPr>
      <w:r w:rsidRPr="0087562F">
        <w:rPr>
          <w:rFonts w:cs="Arial"/>
          <w:color w:val="000000" w:themeColor="text1"/>
          <w:szCs w:val="24"/>
        </w:rPr>
        <w:t xml:space="preserve">La Política de Servicio al Ciudadano </w:t>
      </w:r>
      <w:r w:rsidR="00C453CF">
        <w:rPr>
          <w:rFonts w:cs="Arial"/>
          <w:color w:val="000000" w:themeColor="text1"/>
          <w:szCs w:val="24"/>
        </w:rPr>
        <w:t xml:space="preserve">va dirigida a todas las servidoras y los servidores públicos de la Supersalud, así como aquellos que interactúan con la ciudadanía y grupos de valor a través de sus acciones y en cumplimiento de sus funciones. </w:t>
      </w:r>
      <w:r w:rsidR="00FA4EB3">
        <w:rPr>
          <w:rFonts w:cs="Arial"/>
          <w:color w:val="000000" w:themeColor="text1"/>
          <w:szCs w:val="24"/>
        </w:rPr>
        <w:t>Entendiéndose</w:t>
      </w:r>
      <w:r w:rsidRPr="0087562F">
        <w:rPr>
          <w:rFonts w:cs="Arial"/>
          <w:color w:val="000000" w:themeColor="text1"/>
          <w:szCs w:val="24"/>
        </w:rPr>
        <w:t xml:space="preserve"> que desde cada área o dependencia se sirve a la ciudadanía</w:t>
      </w:r>
      <w:r>
        <w:rPr>
          <w:rFonts w:cs="Arial"/>
          <w:color w:val="000000" w:themeColor="text1"/>
          <w:szCs w:val="24"/>
        </w:rPr>
        <w:t xml:space="preserve"> y por ende esta política tiene una mirada transversal y una aplicabilidad general en la entidad. </w:t>
      </w:r>
    </w:p>
    <w:p w14:paraId="5582ECA6" w14:textId="77777777" w:rsidR="00C10B9A" w:rsidRPr="000319EB" w:rsidRDefault="00C10B9A" w:rsidP="006F091C">
      <w:pPr>
        <w:jc w:val="both"/>
        <w:rPr>
          <w:rFonts w:cs="Arial"/>
          <w:color w:val="000000" w:themeColor="text1"/>
          <w:szCs w:val="24"/>
        </w:rPr>
      </w:pPr>
      <w:r w:rsidRPr="7F50EA3E">
        <w:rPr>
          <w:rFonts w:cs="Arial"/>
          <w:szCs w:val="24"/>
        </w:rPr>
        <w:t xml:space="preserve">Está política se desarrolla a través de la siguiente normativa;  </w:t>
      </w:r>
    </w:p>
    <w:p w14:paraId="1ABD76BF" w14:textId="77777777" w:rsidR="00C10B9A" w:rsidRPr="000319EB" w:rsidRDefault="00C10B9A" w:rsidP="006F091C">
      <w:pPr>
        <w:pStyle w:val="Prrafodelista"/>
        <w:numPr>
          <w:ilvl w:val="0"/>
          <w:numId w:val="3"/>
        </w:numPr>
        <w:jc w:val="both"/>
        <w:rPr>
          <w:rFonts w:cs="Arial"/>
          <w:color w:val="000000" w:themeColor="text1"/>
          <w:szCs w:val="24"/>
        </w:rPr>
      </w:pPr>
      <w:r w:rsidRPr="7F50EA3E">
        <w:rPr>
          <w:rFonts w:cs="Arial"/>
          <w:szCs w:val="24"/>
        </w:rPr>
        <w:t xml:space="preserve">La </w:t>
      </w:r>
      <w:r w:rsidRPr="7F50EA3E">
        <w:rPr>
          <w:rFonts w:cs="Arial"/>
          <w:i/>
          <w:iCs/>
          <w:szCs w:val="24"/>
        </w:rPr>
        <w:t>Constitución Política de Colombia</w:t>
      </w:r>
      <w:r w:rsidRPr="7F50EA3E">
        <w:rPr>
          <w:rFonts w:cs="Arial"/>
          <w:szCs w:val="24"/>
        </w:rPr>
        <w:t xml:space="preserve"> contempla dentro de los fines esenciales del Estado </w:t>
      </w:r>
      <w:r w:rsidRPr="006F091C">
        <w:rPr>
          <w:rFonts w:cs="Arial"/>
          <w:i/>
          <w:iCs/>
          <w:szCs w:val="24"/>
        </w:rPr>
        <w:t>“servir a la comunidad</w:t>
      </w:r>
      <w:r w:rsidRPr="7F50EA3E">
        <w:rPr>
          <w:rFonts w:cs="Arial"/>
          <w:szCs w:val="24"/>
        </w:rPr>
        <w:t>”, es decir el espíritu de servicio que debe caracterizar a cada uno de los servidores/as, funcionarios/as y colaboradores/as que desarrollan funciones públicas, especialmente Art. 2, 13, 23, 47, 54, 123, 209, 270, 365.</w:t>
      </w:r>
    </w:p>
    <w:p w14:paraId="71813A13" w14:textId="77777777" w:rsidR="00C10B9A" w:rsidRPr="000319EB" w:rsidRDefault="00C10B9A" w:rsidP="006F091C">
      <w:pPr>
        <w:pStyle w:val="Prrafodelista"/>
        <w:numPr>
          <w:ilvl w:val="0"/>
          <w:numId w:val="3"/>
        </w:numPr>
        <w:jc w:val="both"/>
        <w:rPr>
          <w:rFonts w:cs="Arial"/>
          <w:color w:val="000000" w:themeColor="text1"/>
          <w:szCs w:val="24"/>
        </w:rPr>
      </w:pPr>
      <w:r w:rsidRPr="7F50EA3E">
        <w:rPr>
          <w:rFonts w:cs="Arial"/>
          <w:szCs w:val="24"/>
        </w:rPr>
        <w:t xml:space="preserve">Decreto 2623 de 2009, </w:t>
      </w:r>
      <w:r w:rsidRPr="006F091C">
        <w:rPr>
          <w:rFonts w:cs="Arial"/>
          <w:i/>
          <w:iCs/>
          <w:szCs w:val="24"/>
        </w:rPr>
        <w:t>“Por el cual se crea el Sistema Nacional de Servicio al Ciudadano”.</w:t>
      </w:r>
    </w:p>
    <w:p w14:paraId="059DF00E" w14:textId="77777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CONPES 3649 de 2010, “</w:t>
      </w:r>
      <w:r w:rsidRPr="006F091C">
        <w:rPr>
          <w:rFonts w:cs="Arial"/>
          <w:i/>
          <w:iCs/>
          <w:szCs w:val="24"/>
        </w:rPr>
        <w:t xml:space="preserve">Mediante el cual se establecen los lineamientos generales y el alcance de la Política Nacional de Servicio al Ciudadano”. </w:t>
      </w:r>
    </w:p>
    <w:p w14:paraId="170EF406" w14:textId="77777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Ley 1437 de 2011 </w:t>
      </w:r>
      <w:r w:rsidRPr="006F091C">
        <w:rPr>
          <w:rFonts w:cs="Arial"/>
          <w:i/>
          <w:iCs/>
          <w:szCs w:val="24"/>
        </w:rPr>
        <w:t>“Por la cual se expide el Código de Procedimiento Administrativo y de lo Contencioso Administrativo”</w:t>
      </w:r>
    </w:p>
    <w:p w14:paraId="33B440BB" w14:textId="77777777" w:rsidR="00C10B9A" w:rsidRPr="009D31B9"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Decreto Ley 019 de 2012 </w:t>
      </w:r>
      <w:r w:rsidRPr="7F50EA3E">
        <w:rPr>
          <w:rFonts w:cs="Arial"/>
          <w:i/>
          <w:iCs/>
          <w:szCs w:val="24"/>
        </w:rPr>
        <w:t>“Por el cual se dictan normas para suprimir o reformar regulaciones, procedimientos y trámites innecesarios existentes en la Administración Pública.”</w:t>
      </w:r>
    </w:p>
    <w:p w14:paraId="25240267" w14:textId="77777777" w:rsidR="00C10B9A" w:rsidRPr="000319EB" w:rsidRDefault="00C10B9A" w:rsidP="006F091C">
      <w:pPr>
        <w:pStyle w:val="Prrafodelista"/>
        <w:numPr>
          <w:ilvl w:val="0"/>
          <w:numId w:val="3"/>
        </w:numPr>
        <w:jc w:val="both"/>
        <w:rPr>
          <w:rFonts w:cs="Arial"/>
          <w:color w:val="000000" w:themeColor="text1"/>
          <w:szCs w:val="24"/>
        </w:rPr>
      </w:pPr>
      <w:r w:rsidRPr="7F50EA3E">
        <w:rPr>
          <w:rFonts w:cs="Arial"/>
          <w:szCs w:val="24"/>
        </w:rPr>
        <w:lastRenderedPageBreak/>
        <w:t>CONPES 3785 de 2013</w:t>
      </w:r>
      <w:r w:rsidRPr="006F091C">
        <w:rPr>
          <w:rFonts w:cs="Arial"/>
          <w:i/>
          <w:iCs/>
          <w:szCs w:val="24"/>
        </w:rPr>
        <w:t>,” Estableció el Modelo de Gestión Pública Eficiente de Servicio al Ciudadano”.</w:t>
      </w:r>
    </w:p>
    <w:p w14:paraId="717CF34B" w14:textId="311E383F"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Ley estatutaria 1757 de 2015, “</w:t>
      </w:r>
      <w:r w:rsidRPr="006F091C">
        <w:rPr>
          <w:rFonts w:cs="Arial"/>
          <w:i/>
          <w:iCs/>
          <w:szCs w:val="24"/>
        </w:rPr>
        <w:t>Estatuto de Participación Ciudadana. Por la que se dictan disposiciones de promoción y protección del derecho a la participación democrática”.</w:t>
      </w:r>
    </w:p>
    <w:p w14:paraId="618E8831" w14:textId="77777777" w:rsidR="00C10B9A" w:rsidRPr="006F091C" w:rsidRDefault="00C10B9A" w:rsidP="34E7CE19">
      <w:pPr>
        <w:pStyle w:val="Prrafodelista"/>
        <w:numPr>
          <w:ilvl w:val="0"/>
          <w:numId w:val="3"/>
        </w:numPr>
        <w:jc w:val="both"/>
        <w:rPr>
          <w:rFonts w:cs="Arial"/>
          <w:i/>
          <w:iCs/>
          <w:color w:val="000000" w:themeColor="text1"/>
        </w:rPr>
      </w:pPr>
      <w:r w:rsidRPr="34E7CE19">
        <w:rPr>
          <w:rFonts w:cs="Arial"/>
        </w:rPr>
        <w:t>Decreto 1083 de 2015, Mod. Decreto 1499 de 2017-Departamento Administrativo de la Función Pública-DAFP-.</w:t>
      </w:r>
      <w:r>
        <w:tab/>
      </w:r>
      <w:r w:rsidRPr="34E7CE19">
        <w:rPr>
          <w:rFonts w:cs="Arial"/>
        </w:rPr>
        <w:t>“</w:t>
      </w:r>
      <w:r w:rsidRPr="34E7CE19">
        <w:rPr>
          <w:rFonts w:cs="Arial"/>
          <w:i/>
          <w:iCs/>
        </w:rPr>
        <w:t>Establece el Modelo Integrado de Planeación y Gestión - MIPG, el cual surge de la integración de los Sistemas de Desarrollo Administrativo y de Gestión de la Calidad en un solo Sistema de Gestión, y de la articulación de este con el Sistema de Control Interno”.</w:t>
      </w:r>
    </w:p>
    <w:p w14:paraId="340BBB0F" w14:textId="77777777" w:rsidR="00C10B9A" w:rsidRPr="000319EB" w:rsidRDefault="00C10B9A" w:rsidP="006F091C">
      <w:pPr>
        <w:pStyle w:val="Prrafodelista"/>
        <w:numPr>
          <w:ilvl w:val="0"/>
          <w:numId w:val="3"/>
        </w:numPr>
        <w:jc w:val="both"/>
        <w:rPr>
          <w:rFonts w:cs="Arial"/>
          <w:color w:val="000000" w:themeColor="text1"/>
          <w:szCs w:val="24"/>
        </w:rPr>
      </w:pPr>
      <w:r w:rsidRPr="7F50EA3E">
        <w:rPr>
          <w:rFonts w:cs="Arial"/>
          <w:szCs w:val="24"/>
        </w:rPr>
        <w:t xml:space="preserve">CONPES 3854 de 2017, </w:t>
      </w:r>
      <w:r w:rsidRPr="006F091C">
        <w:rPr>
          <w:rFonts w:cs="Arial"/>
          <w:i/>
          <w:iCs/>
          <w:szCs w:val="24"/>
        </w:rPr>
        <w:t>“Política Nacional de Seguridad Digital: Cultura ciudadana para la seguridad digital: sensibilización de las múltiples partes interesadas, para crear y fomentar una cultura ciudadana responsable en la seguridad digital”</w:t>
      </w:r>
      <w:r w:rsidRPr="7F50EA3E">
        <w:rPr>
          <w:rFonts w:cs="Arial"/>
          <w:szCs w:val="24"/>
        </w:rPr>
        <w:t>. (Manual de Servicio al Ciudadano, Superintendencia de Servicios Públicos Domiciliarios, 2024).</w:t>
      </w:r>
    </w:p>
    <w:p w14:paraId="41140092" w14:textId="77777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Decreto Ley 2106 de 2019, </w:t>
      </w:r>
      <w:r w:rsidRPr="006F091C">
        <w:rPr>
          <w:rFonts w:cs="Arial"/>
          <w:i/>
          <w:iCs/>
          <w:szCs w:val="24"/>
        </w:rPr>
        <w:t>“Por el cual se dictan normas para simplificar, suprimir y reformar trámites, procesos y procedimientos innecesarios existentes en la administración pública”.</w:t>
      </w:r>
    </w:p>
    <w:p w14:paraId="3766BDE0" w14:textId="77777777" w:rsidR="00C10B9A" w:rsidRPr="009D31B9"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Ley 2052 de 2020 </w:t>
      </w:r>
      <w:r w:rsidRPr="7F50EA3E">
        <w:rPr>
          <w:rFonts w:cs="Arial"/>
          <w:i/>
          <w:iCs/>
          <w:szCs w:val="24"/>
        </w:rPr>
        <w:t>“Por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7B8F163C" w14:textId="77777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Resolución 1519 de 2021, </w:t>
      </w:r>
      <w:r w:rsidRPr="006F091C">
        <w:rPr>
          <w:rFonts w:cs="Arial"/>
          <w:i/>
          <w:iCs/>
          <w:szCs w:val="24"/>
        </w:rPr>
        <w:t>“Por la cual se definen los estándares y directrices para publicar la información señalada en la Ley 1712 del 2014 y se definen los requisitos materia de acceso a la información pública, accesibilidad web, seguridad digital, y datos abiertos”.</w:t>
      </w:r>
    </w:p>
    <w:p w14:paraId="3B54F029" w14:textId="77777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lastRenderedPageBreak/>
        <w:t>CONPES 4070 de 2021, “</w:t>
      </w:r>
      <w:r w:rsidRPr="006F091C">
        <w:rPr>
          <w:rFonts w:cs="Arial"/>
          <w:i/>
          <w:iCs/>
          <w:szCs w:val="24"/>
        </w:rPr>
        <w:t>Emite la política para la implementación de un modelo de Estado Abierto, para mejorar la relación entre la ciudadanía y el Estado”.</w:t>
      </w:r>
    </w:p>
    <w:p w14:paraId="448E322E" w14:textId="77777777" w:rsidR="00C10B9A" w:rsidRPr="006F091C" w:rsidRDefault="00C10B9A" w:rsidP="34E7CE19">
      <w:pPr>
        <w:pStyle w:val="Prrafodelista"/>
        <w:numPr>
          <w:ilvl w:val="0"/>
          <w:numId w:val="3"/>
        </w:numPr>
        <w:jc w:val="both"/>
        <w:rPr>
          <w:rFonts w:cs="Arial"/>
          <w:i/>
          <w:iCs/>
          <w:color w:val="000000" w:themeColor="text1"/>
        </w:rPr>
      </w:pPr>
      <w:r w:rsidRPr="34E7CE19">
        <w:rPr>
          <w:rFonts w:cs="Arial"/>
        </w:rPr>
        <w:t>Resolución 784 de 2021- Ministerio de Salud y Protección Social.</w:t>
      </w:r>
      <w:r>
        <w:tab/>
      </w:r>
      <w:r w:rsidRPr="34E7CE19">
        <w:rPr>
          <w:rFonts w:cs="Arial"/>
          <w:i/>
          <w:iCs/>
        </w:rPr>
        <w:t>“Se adopta el Modelo Integral de Servicio al Ciudadano y otros grupos de valor del Sector Administrativo de Salud y Protección Social y su guía de implementación”.</w:t>
      </w:r>
    </w:p>
    <w:p w14:paraId="1E27EE06" w14:textId="38D50777" w:rsidR="00C10B9A" w:rsidRPr="006F091C" w:rsidRDefault="00C10B9A" w:rsidP="006F091C">
      <w:pPr>
        <w:pStyle w:val="Prrafodelista"/>
        <w:numPr>
          <w:ilvl w:val="0"/>
          <w:numId w:val="3"/>
        </w:numPr>
        <w:jc w:val="both"/>
        <w:rPr>
          <w:rFonts w:cs="Arial"/>
          <w:i/>
          <w:iCs/>
          <w:color w:val="000000" w:themeColor="text1"/>
          <w:szCs w:val="24"/>
        </w:rPr>
      </w:pPr>
      <w:r w:rsidRPr="7F50EA3E">
        <w:rPr>
          <w:rFonts w:cs="Arial"/>
          <w:szCs w:val="24"/>
        </w:rPr>
        <w:t xml:space="preserve">Circular </w:t>
      </w:r>
      <w:r w:rsidR="00874DD8" w:rsidRPr="7F50EA3E">
        <w:rPr>
          <w:rFonts w:cs="Arial"/>
          <w:szCs w:val="24"/>
        </w:rPr>
        <w:t xml:space="preserve">externa </w:t>
      </w:r>
      <w:r w:rsidRPr="7F50EA3E">
        <w:rPr>
          <w:rFonts w:cs="Arial"/>
          <w:szCs w:val="24"/>
        </w:rPr>
        <w:t>100-010 de 2021</w:t>
      </w:r>
      <w:r w:rsidR="00874DD8" w:rsidRPr="7F50EA3E">
        <w:rPr>
          <w:rFonts w:cs="Arial"/>
          <w:szCs w:val="24"/>
        </w:rPr>
        <w:t xml:space="preserve"> </w:t>
      </w:r>
      <w:r w:rsidR="12D730A3" w:rsidRPr="7F50EA3E">
        <w:rPr>
          <w:rFonts w:cs="Arial"/>
          <w:szCs w:val="24"/>
        </w:rPr>
        <w:t>del DAFP</w:t>
      </w:r>
      <w:r w:rsidRPr="7F50EA3E">
        <w:rPr>
          <w:rFonts w:cs="Arial"/>
          <w:szCs w:val="24"/>
        </w:rPr>
        <w:t>, “</w:t>
      </w:r>
      <w:r w:rsidRPr="006F091C">
        <w:rPr>
          <w:rFonts w:cs="Arial"/>
          <w:i/>
          <w:iCs/>
          <w:szCs w:val="24"/>
        </w:rPr>
        <w:t>Directrices para fortalecer la implementación de lenguaje claro”.</w:t>
      </w:r>
    </w:p>
    <w:p w14:paraId="2E216E9A" w14:textId="77777777" w:rsidR="00C10B9A" w:rsidRPr="00874DD8" w:rsidRDefault="00C10B9A" w:rsidP="006F091C">
      <w:pPr>
        <w:pStyle w:val="Prrafodelista"/>
        <w:numPr>
          <w:ilvl w:val="0"/>
          <w:numId w:val="3"/>
        </w:numPr>
        <w:jc w:val="both"/>
        <w:rPr>
          <w:rFonts w:cs="Arial"/>
          <w:b/>
          <w:bCs/>
          <w:color w:val="000000" w:themeColor="text1"/>
          <w:szCs w:val="24"/>
        </w:rPr>
      </w:pPr>
      <w:r w:rsidRPr="7F50EA3E">
        <w:rPr>
          <w:rFonts w:cs="Arial"/>
          <w:szCs w:val="24"/>
        </w:rPr>
        <w:t>Ley 2195 de 2022,</w:t>
      </w:r>
      <w:r w:rsidRPr="7F50EA3E">
        <w:rPr>
          <w:rFonts w:cs="Arial"/>
          <w:b/>
          <w:bCs/>
          <w:szCs w:val="24"/>
        </w:rPr>
        <w:t xml:space="preserve"> </w:t>
      </w:r>
      <w:r w:rsidRPr="7F50EA3E">
        <w:rPr>
          <w:rFonts w:cs="Arial"/>
          <w:szCs w:val="24"/>
        </w:rPr>
        <w:t>“</w:t>
      </w:r>
      <w:r w:rsidRPr="006F091C">
        <w:rPr>
          <w:rFonts w:cs="Arial"/>
          <w:i/>
          <w:iCs/>
          <w:szCs w:val="24"/>
        </w:rPr>
        <w:t>Por medio de la cual se adoptan medidas en materia de transparencia, prevención y lucha contra la corrupción y se dictan otras disposiciones”.</w:t>
      </w:r>
    </w:p>
    <w:p w14:paraId="6450BF8E" w14:textId="6792CAA6" w:rsidR="00D2462C" w:rsidRDefault="00D2462C" w:rsidP="34E7CE19">
      <w:pPr>
        <w:jc w:val="both"/>
        <w:rPr>
          <w:rFonts w:cs="Arial"/>
        </w:rPr>
      </w:pPr>
      <w:r w:rsidRPr="34E7CE19">
        <w:rPr>
          <w:rFonts w:cs="Arial"/>
        </w:rPr>
        <w:t>Los resultados de la implementación del Sistema Integrado de Gestión</w:t>
      </w:r>
      <w:r w:rsidR="24929161" w:rsidRPr="34E7CE19">
        <w:rPr>
          <w:rFonts w:cs="Arial"/>
        </w:rPr>
        <w:t>-SIG-</w:t>
      </w:r>
      <w:r w:rsidRPr="34E7CE19">
        <w:rPr>
          <w:rFonts w:cs="Arial"/>
        </w:rPr>
        <w:t xml:space="preserve"> y su marco de referencia MIPG, se ven reflejados a través del Índice de Desempeño Institucional – IDI-</w:t>
      </w:r>
      <w:r w:rsidR="2E43EE79" w:rsidRPr="34E7CE19">
        <w:rPr>
          <w:rFonts w:cs="Arial"/>
        </w:rPr>
        <w:t xml:space="preserve"> de las políticas asociadas al SIG</w:t>
      </w:r>
      <w:r w:rsidR="00897DFA">
        <w:rPr>
          <w:rFonts w:cs="Arial"/>
        </w:rPr>
        <w:t>, dentro de las cuales figura la Política de Servicio al Ciudadano, donde como antecedente se tienen los siguientes resultados:</w:t>
      </w:r>
    </w:p>
    <w:p w14:paraId="31EB7B64" w14:textId="77777777" w:rsidR="00941845" w:rsidRDefault="00941845" w:rsidP="006F091C">
      <w:pPr>
        <w:jc w:val="both"/>
        <w:rPr>
          <w:rFonts w:cs="Arial"/>
          <w:color w:val="000000" w:themeColor="text1"/>
          <w:szCs w:val="24"/>
        </w:rPr>
      </w:pPr>
    </w:p>
    <w:p w14:paraId="631B031A" w14:textId="77777777" w:rsidR="00201406" w:rsidRDefault="00C81653" w:rsidP="00201406">
      <w:pPr>
        <w:spacing w:line="276" w:lineRule="auto"/>
        <w:ind w:left="709"/>
        <w:jc w:val="center"/>
        <w:rPr>
          <w:rFonts w:cs="Arial"/>
          <w:b/>
          <w:bCs/>
          <w:sz w:val="18"/>
          <w:szCs w:val="18"/>
        </w:rPr>
      </w:pPr>
      <w:r>
        <w:rPr>
          <w:noProof/>
          <w14:ligatures w14:val="standardContextual"/>
        </w:rPr>
        <w:lastRenderedPageBreak/>
        <w:drawing>
          <wp:inline distT="0" distB="0" distL="0" distR="0" wp14:anchorId="077B400F" wp14:editId="4BD5DD87">
            <wp:extent cx="4859655" cy="2313992"/>
            <wp:effectExtent l="0" t="0" r="17145" b="10160"/>
            <wp:docPr id="1256781572" name="Gráfico 1">
              <a:extLst xmlns:a="http://schemas.openxmlformats.org/drawingml/2006/main">
                <a:ext uri="{FF2B5EF4-FFF2-40B4-BE49-F238E27FC236}">
                  <a16:creationId xmlns:a16="http://schemas.microsoft.com/office/drawing/2014/main" id="{3383A0A1-65E0-0EC7-6A1D-F4264E930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671FF6" w14:textId="63BCF54A" w:rsidR="006D3BE0" w:rsidRPr="00201406" w:rsidRDefault="00134A5C" w:rsidP="00201406">
      <w:pPr>
        <w:spacing w:line="276" w:lineRule="auto"/>
        <w:ind w:left="709"/>
        <w:jc w:val="center"/>
        <w:rPr>
          <w:rFonts w:cs="Arial"/>
          <w:color w:val="000000" w:themeColor="text1"/>
          <w:sz w:val="18"/>
          <w:szCs w:val="18"/>
        </w:rPr>
      </w:pPr>
      <w:r w:rsidRPr="00201406">
        <w:rPr>
          <w:rFonts w:cs="Arial"/>
          <w:b/>
          <w:bCs/>
          <w:sz w:val="18"/>
          <w:szCs w:val="18"/>
        </w:rPr>
        <w:t>Fuente:</w:t>
      </w:r>
      <w:r w:rsidRPr="00201406">
        <w:rPr>
          <w:rFonts w:cs="Arial"/>
          <w:sz w:val="18"/>
          <w:szCs w:val="18"/>
        </w:rPr>
        <w:t xml:space="preserve"> </w:t>
      </w:r>
      <w:r w:rsidR="006D3BE0" w:rsidRPr="00201406">
        <w:rPr>
          <w:rFonts w:cs="Arial"/>
          <w:sz w:val="18"/>
          <w:szCs w:val="18"/>
        </w:rPr>
        <w:t xml:space="preserve">Medición del Desempeño Institucional- MDI </w:t>
      </w:r>
      <w:r w:rsidR="003C0B26" w:rsidRPr="00201406">
        <w:rPr>
          <w:rFonts w:cs="Arial"/>
          <w:sz w:val="18"/>
          <w:szCs w:val="18"/>
        </w:rPr>
        <w:t>– Función Pública.</w:t>
      </w:r>
    </w:p>
    <w:p w14:paraId="2CF1D886" w14:textId="7D9B0054" w:rsidR="008C2064" w:rsidRDefault="002800F6" w:rsidP="006F091C">
      <w:pPr>
        <w:jc w:val="both"/>
        <w:rPr>
          <w:rFonts w:cs="Arial"/>
        </w:rPr>
      </w:pPr>
      <w:r w:rsidRPr="002800F6">
        <w:rPr>
          <w:rFonts w:cs="Arial"/>
        </w:rPr>
        <w:t xml:space="preserve">La política de Servicio al Ciudadano </w:t>
      </w:r>
      <w:r w:rsidR="00557B95">
        <w:rPr>
          <w:rFonts w:cs="Arial"/>
        </w:rPr>
        <w:t xml:space="preserve">en vigencia 2021 </w:t>
      </w:r>
      <w:r w:rsidRPr="002800F6">
        <w:rPr>
          <w:rFonts w:cs="Arial"/>
        </w:rPr>
        <w:t>obtuvo un puntaje de </w:t>
      </w:r>
      <w:r w:rsidRPr="002800F6">
        <w:rPr>
          <w:rFonts w:cs="Arial"/>
          <w:b/>
          <w:bCs/>
        </w:rPr>
        <w:t>99.1</w:t>
      </w:r>
      <w:r w:rsidRPr="002800F6">
        <w:rPr>
          <w:rFonts w:cs="Arial"/>
        </w:rPr>
        <w:t> puntos, comparado con el año anterior (</w:t>
      </w:r>
      <w:r w:rsidRPr="002800F6">
        <w:rPr>
          <w:rFonts w:cs="Arial"/>
          <w:b/>
          <w:bCs/>
        </w:rPr>
        <w:t>98</w:t>
      </w:r>
      <w:r w:rsidRPr="002800F6">
        <w:rPr>
          <w:rFonts w:cs="Arial"/>
        </w:rPr>
        <w:t xml:space="preserve">) </w:t>
      </w:r>
      <w:r w:rsidR="00557B95">
        <w:rPr>
          <w:rFonts w:cs="Arial"/>
        </w:rPr>
        <w:t xml:space="preserve">con incremento de </w:t>
      </w:r>
      <w:r w:rsidRPr="002800F6">
        <w:rPr>
          <w:rFonts w:cs="Arial"/>
        </w:rPr>
        <w:t>1,1 puntos</w:t>
      </w:r>
      <w:r w:rsidR="00B33AAC">
        <w:rPr>
          <w:rFonts w:cs="Arial"/>
        </w:rPr>
        <w:t>.</w:t>
      </w:r>
    </w:p>
    <w:p w14:paraId="11F131A1" w14:textId="2C05636C" w:rsidR="00C36CEA" w:rsidRDefault="000D775B" w:rsidP="00604F73">
      <w:pPr>
        <w:jc w:val="both"/>
        <w:rPr>
          <w:rFonts w:cs="Arial"/>
        </w:rPr>
      </w:pPr>
      <w:r>
        <w:rPr>
          <w:rFonts w:cs="Arial"/>
          <w:szCs w:val="24"/>
        </w:rPr>
        <w:t xml:space="preserve">Se aclara que </w:t>
      </w:r>
      <w:r w:rsidR="00B753F9">
        <w:rPr>
          <w:rFonts w:cs="Arial"/>
        </w:rPr>
        <w:t>s</w:t>
      </w:r>
      <w:r w:rsidR="00604F73" w:rsidRPr="00604F73">
        <w:rPr>
          <w:rFonts w:cs="Arial"/>
        </w:rPr>
        <w:t>on comparables los índices de los siguientes años</w:t>
      </w:r>
      <w:r w:rsidR="00604F73">
        <w:rPr>
          <w:rFonts w:cs="Arial"/>
        </w:rPr>
        <w:t xml:space="preserve"> </w:t>
      </w:r>
      <w:r w:rsidR="00604F73" w:rsidRPr="00604F73">
        <w:rPr>
          <w:rFonts w:cs="Arial"/>
        </w:rPr>
        <w:t>2019,2020 y 2021</w:t>
      </w:r>
      <w:r w:rsidR="00E72CE5">
        <w:rPr>
          <w:rFonts w:cs="Arial"/>
        </w:rPr>
        <w:t xml:space="preserve">, sin embargo, </w:t>
      </w:r>
      <w:r w:rsidR="00E72CE5">
        <w:rPr>
          <w:rFonts w:cs="Arial"/>
          <w:lang w:val="es-MX"/>
        </w:rPr>
        <w:t xml:space="preserve">por la </w:t>
      </w:r>
      <w:r w:rsidR="00E72CE5">
        <w:rPr>
          <w:rFonts w:cs="Arial"/>
          <w:szCs w:val="24"/>
        </w:rPr>
        <w:t xml:space="preserve">actualización y modificación del </w:t>
      </w:r>
      <w:r w:rsidR="00E72CE5" w:rsidRPr="1EB58241">
        <w:rPr>
          <w:rFonts w:cs="Arial"/>
        </w:rPr>
        <w:t>Manual Operativo MIPG versión 5</w:t>
      </w:r>
      <w:r w:rsidR="00E72CE5">
        <w:rPr>
          <w:rFonts w:cs="Arial"/>
        </w:rPr>
        <w:t xml:space="preserve"> </w:t>
      </w:r>
      <w:r w:rsidR="00B753F9">
        <w:rPr>
          <w:rFonts w:cs="Arial"/>
        </w:rPr>
        <w:t xml:space="preserve">para </w:t>
      </w:r>
      <w:r w:rsidR="006264A6">
        <w:rPr>
          <w:rFonts w:cs="Arial"/>
        </w:rPr>
        <w:t xml:space="preserve">la medición </w:t>
      </w:r>
      <w:r w:rsidR="006264A6" w:rsidRPr="006264A6">
        <w:rPr>
          <w:rFonts w:cs="Arial"/>
          <w:lang w:val="es-MX"/>
        </w:rPr>
        <w:t>de 2022 se constituyó en la línea base comparativa para los años venidero</w:t>
      </w:r>
      <w:r w:rsidR="00752A6B">
        <w:rPr>
          <w:rFonts w:cs="Arial"/>
          <w:lang w:val="es-MX"/>
        </w:rPr>
        <w:t>s</w:t>
      </w:r>
      <w:r w:rsidR="0024226F">
        <w:rPr>
          <w:rFonts w:cs="Arial"/>
          <w:lang w:val="es-MX"/>
        </w:rPr>
        <w:t>.</w:t>
      </w:r>
      <w:r w:rsidR="00752A6B">
        <w:rPr>
          <w:rFonts w:cs="Arial"/>
          <w:lang w:val="es-MX"/>
        </w:rPr>
        <w:t xml:space="preserve"> </w:t>
      </w:r>
    </w:p>
    <w:p w14:paraId="5EB5BA16" w14:textId="46DC532E" w:rsidR="00585BA7" w:rsidRDefault="004B03CE" w:rsidP="34E7CE19">
      <w:pPr>
        <w:jc w:val="both"/>
        <w:rPr>
          <w:rFonts w:cs="Arial"/>
        </w:rPr>
      </w:pPr>
      <w:bookmarkStart w:id="2" w:name="_Toc159854085"/>
      <w:bookmarkStart w:id="3" w:name="_Toc159854084"/>
      <w:r w:rsidRPr="34E7CE19">
        <w:rPr>
          <w:rFonts w:cs="Arial"/>
        </w:rPr>
        <w:t xml:space="preserve">Para la medición de la vigencia 2022 hubo una modificación </w:t>
      </w:r>
      <w:r w:rsidR="0004115F" w:rsidRPr="34E7CE19">
        <w:rPr>
          <w:rFonts w:cs="Arial"/>
        </w:rPr>
        <w:t>del Formulario Único de Reporte de Avances de la Gestión (FURAG)</w:t>
      </w:r>
      <w:r w:rsidRPr="34E7CE19">
        <w:rPr>
          <w:rFonts w:cs="Arial"/>
        </w:rPr>
        <w:t> con nuevas preguntas asociadas al relacionamiento con la ciudadanía y los grupos de valor</w:t>
      </w:r>
      <w:r w:rsidR="0004115F" w:rsidRPr="34E7CE19">
        <w:rPr>
          <w:rFonts w:cs="Arial"/>
        </w:rPr>
        <w:t>. Así mismo se</w:t>
      </w:r>
      <w:r w:rsidRPr="34E7CE19">
        <w:rPr>
          <w:rFonts w:cs="Arial"/>
        </w:rPr>
        <w:t xml:space="preserve"> </w:t>
      </w:r>
      <w:r w:rsidR="0004115F" w:rsidRPr="34E7CE19">
        <w:rPr>
          <w:rFonts w:cs="Arial"/>
        </w:rPr>
        <w:t xml:space="preserve">precisa </w:t>
      </w:r>
      <w:r w:rsidRPr="34E7CE19">
        <w:rPr>
          <w:rFonts w:cs="Arial"/>
        </w:rPr>
        <w:t xml:space="preserve">que institucionalmente la Política de Servicio al Ciudadano se formuló y aprobó en el 2022 con un </w:t>
      </w:r>
      <w:r w:rsidR="00CF3CD8" w:rsidRPr="34E7CE19">
        <w:rPr>
          <w:rFonts w:cs="Arial"/>
          <w:b/>
          <w:bCs/>
        </w:rPr>
        <w:t>e</w:t>
      </w:r>
      <w:r w:rsidRPr="34E7CE19">
        <w:rPr>
          <w:rFonts w:cs="Arial"/>
          <w:b/>
          <w:bCs/>
        </w:rPr>
        <w:t>nfoque transversal</w:t>
      </w:r>
      <w:r w:rsidRPr="34E7CE19">
        <w:rPr>
          <w:rFonts w:cs="Arial"/>
        </w:rPr>
        <w:t xml:space="preserve"> a toda la entidad</w:t>
      </w:r>
      <w:r w:rsidR="000B39CE" w:rsidRPr="34E7CE19">
        <w:rPr>
          <w:rFonts w:cs="Arial"/>
        </w:rPr>
        <w:t>.</w:t>
      </w:r>
      <w:r w:rsidRPr="34E7CE19">
        <w:rPr>
          <w:rFonts w:cs="Arial"/>
        </w:rPr>
        <w:t xml:space="preserve"> </w:t>
      </w:r>
    </w:p>
    <w:p w14:paraId="37884BD3" w14:textId="05040CAF" w:rsidR="00102AD6" w:rsidRDefault="00102AD6" w:rsidP="1EB58241">
      <w:pPr>
        <w:jc w:val="both"/>
        <w:rPr>
          <w:rFonts w:cs="Arial"/>
          <w:b/>
          <w:bCs/>
          <w:i/>
          <w:iCs/>
        </w:rPr>
      </w:pPr>
      <w:r w:rsidRPr="00102AD6">
        <w:rPr>
          <w:rFonts w:cs="Arial"/>
          <w:b/>
          <w:bCs/>
          <w:i/>
          <w:iCs/>
        </w:rPr>
        <w:t>Declaratoria</w:t>
      </w:r>
    </w:p>
    <w:p w14:paraId="5A2BB57E" w14:textId="5A4131D2" w:rsidR="00102AD6" w:rsidRDefault="00102AD6" w:rsidP="00102AD6">
      <w:pPr>
        <w:jc w:val="both"/>
        <w:rPr>
          <w:rFonts w:cs="Arial"/>
          <w:szCs w:val="24"/>
        </w:rPr>
      </w:pPr>
      <w:r w:rsidRPr="7F50EA3E">
        <w:rPr>
          <w:rFonts w:cs="Arial"/>
          <w:szCs w:val="24"/>
        </w:rPr>
        <w:lastRenderedPageBreak/>
        <w:t>La Superintendencia Nacional de Salud encargada de proteger los derechos de los usuarios</w:t>
      </w:r>
      <w:r>
        <w:rPr>
          <w:rFonts w:cs="Arial"/>
          <w:szCs w:val="24"/>
        </w:rPr>
        <w:t xml:space="preserve"> y usuarias</w:t>
      </w:r>
      <w:r w:rsidRPr="7F50EA3E">
        <w:rPr>
          <w:rFonts w:cs="Arial"/>
          <w:szCs w:val="24"/>
        </w:rPr>
        <w:t xml:space="preserve"> del Sistema de Salud mediante la inspección, vigilancia, control y el ejercicio de la función jurisdiccional y de conciliación,  adopta la Política de Servicio al Ciudadano, </w:t>
      </w:r>
      <w:r>
        <w:rPr>
          <w:rFonts w:cs="Arial"/>
          <w:szCs w:val="24"/>
        </w:rPr>
        <w:t>y a través de esta se compromete a</w:t>
      </w:r>
      <w:r w:rsidRPr="7F50EA3E">
        <w:rPr>
          <w:rFonts w:cs="Arial"/>
          <w:szCs w:val="24"/>
        </w:rPr>
        <w:t xml:space="preserve"> garantizar el acceso efectivo, oportuno y de calidad de los habitantes del territorio nacional a sus derechos y cumplimiento de sus deberes en salud, a través de escenarios de relacionamiento</w:t>
      </w:r>
      <w:r>
        <w:rPr>
          <w:rFonts w:cs="Arial"/>
          <w:szCs w:val="24"/>
        </w:rPr>
        <w:t xml:space="preserve"> </w:t>
      </w:r>
      <w:r w:rsidRPr="7F50EA3E">
        <w:rPr>
          <w:rFonts w:cs="Arial"/>
          <w:szCs w:val="24"/>
        </w:rPr>
        <w:t xml:space="preserve">dialogantes, incluyentes y que construyan confianza pública. </w:t>
      </w:r>
    </w:p>
    <w:p w14:paraId="722FE818" w14:textId="32DEFAE7" w:rsidR="007A2CBA" w:rsidRPr="007A2CBA" w:rsidRDefault="007A2CBA" w:rsidP="00102AD6">
      <w:pPr>
        <w:jc w:val="both"/>
        <w:rPr>
          <w:rFonts w:cs="Arial"/>
          <w:b/>
          <w:bCs/>
          <w:i/>
          <w:iCs/>
          <w:szCs w:val="24"/>
        </w:rPr>
      </w:pPr>
      <w:r w:rsidRPr="007A2CBA">
        <w:rPr>
          <w:rFonts w:cs="Arial"/>
          <w:b/>
          <w:bCs/>
          <w:i/>
          <w:iCs/>
          <w:szCs w:val="24"/>
        </w:rPr>
        <w:t xml:space="preserve">Despliegue de la Política: </w:t>
      </w:r>
    </w:p>
    <w:p w14:paraId="157C5540" w14:textId="0AAA8125" w:rsidR="00AC37A4" w:rsidRPr="0026404D" w:rsidRDefault="007A2CBA" w:rsidP="1EB58241">
      <w:pPr>
        <w:jc w:val="both"/>
        <w:rPr>
          <w:rFonts w:cs="Arial"/>
          <w:color w:val="000000" w:themeColor="text1"/>
        </w:rPr>
      </w:pPr>
      <w:r>
        <w:rPr>
          <w:rFonts w:cs="Arial"/>
        </w:rPr>
        <w:t xml:space="preserve">De acuerdo con la declaración de la </w:t>
      </w:r>
      <w:r w:rsidRPr="1EB58241">
        <w:rPr>
          <w:rFonts w:cs="Arial"/>
        </w:rPr>
        <w:t>Política de Servicio al Ciudadano</w:t>
      </w:r>
      <w:r>
        <w:rPr>
          <w:rFonts w:cs="Arial"/>
        </w:rPr>
        <w:t xml:space="preserve"> y p</w:t>
      </w:r>
      <w:r w:rsidR="0026404D" w:rsidRPr="1EB58241">
        <w:rPr>
          <w:rFonts w:cs="Arial"/>
        </w:rPr>
        <w:t xml:space="preserve">ara </w:t>
      </w:r>
      <w:r w:rsidR="006E1F88" w:rsidRPr="1EB58241">
        <w:rPr>
          <w:rFonts w:cs="Arial"/>
        </w:rPr>
        <w:t>el cumplimiento de</w:t>
      </w:r>
      <w:r w:rsidR="0026404D" w:rsidRPr="1EB58241">
        <w:rPr>
          <w:rFonts w:cs="Arial"/>
        </w:rPr>
        <w:t xml:space="preserve"> </w:t>
      </w:r>
      <w:r>
        <w:rPr>
          <w:rFonts w:cs="Arial"/>
        </w:rPr>
        <w:t xml:space="preserve">las directrices contenidas en esta misma, la entidad se compromete a desarrollarla mediante </w:t>
      </w:r>
      <w:r w:rsidR="00897DFA">
        <w:rPr>
          <w:rFonts w:cs="Arial"/>
        </w:rPr>
        <w:t>los siguientes objetivos y entregables</w:t>
      </w:r>
      <w:r w:rsidR="004F448B">
        <w:rPr>
          <w:rFonts w:cs="Arial"/>
        </w:rPr>
        <w:t xml:space="preserve"> (evidencias):</w:t>
      </w:r>
    </w:p>
    <w:tbl>
      <w:tblPr>
        <w:tblStyle w:val="Tablaconcuadrcula"/>
        <w:tblW w:w="5000" w:type="pct"/>
        <w:tblLook w:val="04A0" w:firstRow="1" w:lastRow="0" w:firstColumn="1" w:lastColumn="0" w:noHBand="0" w:noVBand="1"/>
      </w:tblPr>
      <w:tblGrid>
        <w:gridCol w:w="2405"/>
        <w:gridCol w:w="3402"/>
        <w:gridCol w:w="2454"/>
      </w:tblGrid>
      <w:tr w:rsidR="00AC37A4" w:rsidRPr="00971814" w14:paraId="109605D1" w14:textId="77777777" w:rsidTr="00102AD6">
        <w:trPr>
          <w:trHeight w:val="446"/>
          <w:tblHeader/>
        </w:trPr>
        <w:tc>
          <w:tcPr>
            <w:tcW w:w="1456" w:type="pct"/>
            <w:shd w:val="clear" w:color="auto" w:fill="3A7C22" w:themeFill="accent6" w:themeFillShade="BF"/>
          </w:tcPr>
          <w:p w14:paraId="57637BCF" w14:textId="39D7CB94" w:rsidR="00AC37A4" w:rsidRPr="003B7FD5" w:rsidRDefault="1F51AC64" w:rsidP="007A2CBA">
            <w:pPr>
              <w:contextualSpacing/>
              <w:jc w:val="center"/>
              <w:rPr>
                <w:rStyle w:val="ui-provider"/>
                <w:rFonts w:cs="Arial"/>
                <w:b/>
                <w:bCs/>
                <w:color w:val="FFFFFF" w:themeColor="background1"/>
                <w:sz w:val="22"/>
              </w:rPr>
            </w:pPr>
            <w:r w:rsidRPr="003B7FD5">
              <w:rPr>
                <w:rStyle w:val="ui-provider"/>
                <w:rFonts w:cs="Arial"/>
                <w:b/>
                <w:bCs/>
                <w:color w:val="FFFFFF" w:themeColor="background1"/>
                <w:sz w:val="22"/>
              </w:rPr>
              <w:lastRenderedPageBreak/>
              <w:t>Directri</w:t>
            </w:r>
            <w:r w:rsidR="034234EB" w:rsidRPr="003B7FD5">
              <w:rPr>
                <w:rStyle w:val="ui-provider"/>
                <w:rFonts w:cs="Arial"/>
                <w:b/>
                <w:bCs/>
                <w:color w:val="FFFFFF" w:themeColor="background1"/>
                <w:sz w:val="22"/>
              </w:rPr>
              <w:t>z</w:t>
            </w:r>
          </w:p>
        </w:tc>
        <w:tc>
          <w:tcPr>
            <w:tcW w:w="2059" w:type="pct"/>
            <w:shd w:val="clear" w:color="auto" w:fill="3A7C22" w:themeFill="accent6" w:themeFillShade="BF"/>
          </w:tcPr>
          <w:p w14:paraId="5119E645" w14:textId="2F1A9445" w:rsidR="00AC37A4" w:rsidRPr="003B7FD5" w:rsidRDefault="1F51AC64" w:rsidP="007A2CBA">
            <w:pPr>
              <w:contextualSpacing/>
              <w:jc w:val="center"/>
              <w:rPr>
                <w:rStyle w:val="ui-provider"/>
                <w:rFonts w:cs="Arial"/>
                <w:b/>
                <w:bCs/>
                <w:color w:val="FFFFFF" w:themeColor="background1"/>
                <w:sz w:val="22"/>
              </w:rPr>
            </w:pPr>
            <w:r w:rsidRPr="003B7FD5">
              <w:rPr>
                <w:rStyle w:val="ui-provider"/>
                <w:rFonts w:cs="Arial"/>
                <w:b/>
                <w:bCs/>
                <w:color w:val="FFFFFF" w:themeColor="background1"/>
                <w:sz w:val="22"/>
              </w:rPr>
              <w:t>Objetivo</w:t>
            </w:r>
          </w:p>
        </w:tc>
        <w:tc>
          <w:tcPr>
            <w:tcW w:w="1485" w:type="pct"/>
            <w:shd w:val="clear" w:color="auto" w:fill="3A7C22" w:themeFill="accent6" w:themeFillShade="BF"/>
          </w:tcPr>
          <w:p w14:paraId="4A9D536B" w14:textId="16772D17" w:rsidR="00327679" w:rsidRPr="003B7FD5" w:rsidRDefault="52A11870" w:rsidP="007A2CBA">
            <w:pPr>
              <w:contextualSpacing/>
              <w:jc w:val="center"/>
              <w:rPr>
                <w:rStyle w:val="ui-provider"/>
                <w:rFonts w:cs="Arial"/>
                <w:b/>
                <w:bCs/>
                <w:color w:val="FFFFFF" w:themeColor="background1"/>
                <w:sz w:val="22"/>
              </w:rPr>
            </w:pPr>
            <w:r w:rsidRPr="003B7FD5">
              <w:rPr>
                <w:rStyle w:val="ui-provider"/>
                <w:rFonts w:cs="Arial"/>
                <w:b/>
                <w:bCs/>
                <w:color w:val="FFFFFF" w:themeColor="background1"/>
                <w:sz w:val="22"/>
              </w:rPr>
              <w:t>Evidencia</w:t>
            </w:r>
          </w:p>
        </w:tc>
      </w:tr>
      <w:tr w:rsidR="00AC37A4" w:rsidRPr="00971814" w14:paraId="51CEB718" w14:textId="77777777" w:rsidTr="00102AD6">
        <w:trPr>
          <w:trHeight w:val="4695"/>
        </w:trPr>
        <w:tc>
          <w:tcPr>
            <w:tcW w:w="1456" w:type="pct"/>
          </w:tcPr>
          <w:p w14:paraId="1034DE4F" w14:textId="0F73BF5A" w:rsidR="00DE6441" w:rsidRPr="003B7FD5" w:rsidRDefault="00FA4EB3" w:rsidP="007A2CBA">
            <w:pPr>
              <w:jc w:val="both"/>
              <w:rPr>
                <w:rStyle w:val="ui-provider"/>
                <w:rFonts w:cs="Arial"/>
                <w:sz w:val="22"/>
              </w:rPr>
            </w:pPr>
            <w:r w:rsidRPr="003B7FD5">
              <w:rPr>
                <w:rStyle w:val="ui-provider"/>
                <w:rFonts w:cs="Arial"/>
                <w:sz w:val="22"/>
              </w:rPr>
              <w:t>G</w:t>
            </w:r>
            <w:r w:rsidR="00DE6441" w:rsidRPr="003B7FD5">
              <w:rPr>
                <w:rStyle w:val="ui-provider"/>
                <w:rFonts w:cs="Arial"/>
                <w:sz w:val="22"/>
              </w:rPr>
              <w:t xml:space="preserve">arantizar el acceso efectivo, oportuno y de calidad de los habitantes del territorio nacional a sus derechos y cumplimiento de sus deberes en salud: </w:t>
            </w:r>
          </w:p>
          <w:p w14:paraId="6669E383" w14:textId="1E8E25D0" w:rsidR="00AC37A4" w:rsidRPr="003B7FD5" w:rsidRDefault="00AC37A4" w:rsidP="007A2CBA">
            <w:pPr>
              <w:rPr>
                <w:rStyle w:val="ui-provider"/>
                <w:rFonts w:cs="Arial"/>
                <w:color w:val="7F7F7F" w:themeColor="text1" w:themeTint="80"/>
                <w:sz w:val="22"/>
              </w:rPr>
            </w:pPr>
          </w:p>
        </w:tc>
        <w:tc>
          <w:tcPr>
            <w:tcW w:w="2059" w:type="pct"/>
          </w:tcPr>
          <w:p w14:paraId="074A0876" w14:textId="36B975E3" w:rsidR="009E4C28" w:rsidRPr="00102AD6" w:rsidRDefault="00102AD6" w:rsidP="007A2CBA">
            <w:pPr>
              <w:jc w:val="both"/>
              <w:rPr>
                <w:rStyle w:val="ui-provider"/>
                <w:rFonts w:cs="Arial"/>
                <w:b/>
                <w:bCs/>
                <w:sz w:val="22"/>
              </w:rPr>
            </w:pPr>
            <w:r w:rsidRPr="00102AD6">
              <w:rPr>
                <w:rFonts w:cs="Arial"/>
                <w:b/>
                <w:bCs/>
                <w:sz w:val="22"/>
              </w:rPr>
              <w:t>Promover, fortalecer y apoyar las acciones de lenguaje claro:</w:t>
            </w:r>
            <w:r>
              <w:rPr>
                <w:rFonts w:cs="Arial"/>
                <w:b/>
                <w:bCs/>
                <w:sz w:val="22"/>
              </w:rPr>
              <w:t xml:space="preserve"> </w:t>
            </w:r>
            <w:r w:rsidR="00FA4EB3" w:rsidRPr="003B7FD5">
              <w:rPr>
                <w:rStyle w:val="ui-provider"/>
                <w:rFonts w:cs="Arial"/>
                <w:sz w:val="22"/>
              </w:rPr>
              <w:t>Mejorar la comunicación con la ciudadanía y los grupos de valor, a través de la t</w:t>
            </w:r>
            <w:r w:rsidR="356A0262" w:rsidRPr="003B7FD5">
              <w:rPr>
                <w:rStyle w:val="ui-provider"/>
                <w:rFonts w:cs="Arial"/>
                <w:sz w:val="22"/>
              </w:rPr>
              <w:t>ransforma</w:t>
            </w:r>
            <w:r w:rsidR="00FA4EB3" w:rsidRPr="003B7FD5">
              <w:rPr>
                <w:rStyle w:val="ui-provider"/>
                <w:rFonts w:cs="Arial"/>
                <w:sz w:val="22"/>
              </w:rPr>
              <w:t>ción en lenguaje claro de documentos, manuales y respuestas a las PQRS y Solicitudes de Información</w:t>
            </w:r>
            <w:r w:rsidR="009E5E8B" w:rsidRPr="003B7FD5">
              <w:rPr>
                <w:rStyle w:val="ui-provider"/>
                <w:rFonts w:cs="Arial"/>
                <w:sz w:val="22"/>
              </w:rPr>
              <w:t xml:space="preserve">, así como implementar en los escenarios de relacionamiento, las directrices contenidas en la circular 100-010 de 2021 del DAFP.  </w:t>
            </w:r>
          </w:p>
        </w:tc>
        <w:tc>
          <w:tcPr>
            <w:tcW w:w="1485" w:type="pct"/>
          </w:tcPr>
          <w:p w14:paraId="6F612BFC" w14:textId="4A11719F" w:rsidR="0078716F" w:rsidRPr="003B7FD5" w:rsidRDefault="0078716F" w:rsidP="007A2CBA">
            <w:pPr>
              <w:jc w:val="both"/>
              <w:rPr>
                <w:rStyle w:val="ui-provider"/>
                <w:rFonts w:cs="Arial"/>
                <w:sz w:val="22"/>
              </w:rPr>
            </w:pPr>
            <w:r w:rsidRPr="003B7FD5">
              <w:rPr>
                <w:rStyle w:val="ui-provider"/>
                <w:rFonts w:cs="Arial"/>
                <w:sz w:val="22"/>
              </w:rPr>
              <w:t xml:space="preserve">Documentos transformados a Lenguaje Claro (Ver cronograma DPU) </w:t>
            </w:r>
          </w:p>
          <w:p w14:paraId="3E33519D" w14:textId="4615856E" w:rsidR="00D54D41" w:rsidRPr="003B7FD5" w:rsidRDefault="00D54D41" w:rsidP="007A2CBA">
            <w:pPr>
              <w:jc w:val="both"/>
              <w:rPr>
                <w:rStyle w:val="ui-provider"/>
                <w:rFonts w:cs="Arial"/>
                <w:color w:val="7F7F7F" w:themeColor="text1" w:themeTint="80"/>
                <w:sz w:val="22"/>
              </w:rPr>
            </w:pPr>
          </w:p>
        </w:tc>
      </w:tr>
      <w:tr w:rsidR="00F11D27" w:rsidRPr="00971814" w14:paraId="6BFFD966" w14:textId="77777777" w:rsidTr="00102AD6">
        <w:trPr>
          <w:trHeight w:val="454"/>
        </w:trPr>
        <w:tc>
          <w:tcPr>
            <w:tcW w:w="1456" w:type="pct"/>
          </w:tcPr>
          <w:p w14:paraId="0253035E" w14:textId="5AC1BE46" w:rsidR="00F11D27" w:rsidRPr="003B7FD5" w:rsidRDefault="009E5E8B" w:rsidP="007A2CBA">
            <w:pPr>
              <w:jc w:val="both"/>
              <w:rPr>
                <w:rStyle w:val="ui-provider"/>
                <w:rFonts w:cs="Arial"/>
                <w:sz w:val="22"/>
              </w:rPr>
            </w:pPr>
            <w:r w:rsidRPr="003B7FD5">
              <w:rPr>
                <w:rStyle w:val="ui-provider"/>
                <w:rFonts w:cs="Arial"/>
                <w:sz w:val="22"/>
              </w:rPr>
              <w:t>G</w:t>
            </w:r>
            <w:r w:rsidR="00DE6441" w:rsidRPr="003B7FD5">
              <w:rPr>
                <w:rStyle w:val="ui-provider"/>
                <w:rFonts w:cs="Arial"/>
                <w:sz w:val="22"/>
              </w:rPr>
              <w:t xml:space="preserve">arantizar el acceso efectivo, oportuno y de calidad de los habitantes del territorio nacional a sus derechos y cumplimiento de sus deberes en salud, a través de escenarios de relacionamiento dialogantes, incluyentes y que </w:t>
            </w:r>
            <w:r w:rsidR="00DE6441" w:rsidRPr="003B7FD5">
              <w:rPr>
                <w:rStyle w:val="ui-provider"/>
                <w:rFonts w:cs="Arial"/>
                <w:sz w:val="22"/>
              </w:rPr>
              <w:lastRenderedPageBreak/>
              <w:t>construyan confianza pública</w:t>
            </w:r>
            <w:r w:rsidR="00102AD6">
              <w:rPr>
                <w:rStyle w:val="ui-provider"/>
                <w:rFonts w:cs="Arial"/>
                <w:sz w:val="22"/>
              </w:rPr>
              <w:t>.</w:t>
            </w:r>
          </w:p>
        </w:tc>
        <w:tc>
          <w:tcPr>
            <w:tcW w:w="2059" w:type="pct"/>
          </w:tcPr>
          <w:p w14:paraId="45B4D2FD" w14:textId="24A4A2C9" w:rsidR="00BD45A6" w:rsidRPr="00102AD6" w:rsidRDefault="00102AD6" w:rsidP="007A2CBA">
            <w:pPr>
              <w:jc w:val="both"/>
              <w:rPr>
                <w:rStyle w:val="ui-provider"/>
                <w:rFonts w:cs="Arial"/>
                <w:b/>
                <w:bCs/>
                <w:sz w:val="22"/>
              </w:rPr>
            </w:pPr>
            <w:r w:rsidRPr="00102AD6">
              <w:rPr>
                <w:rStyle w:val="ui-provider"/>
                <w:rFonts w:cs="Arial"/>
                <w:b/>
                <w:bCs/>
                <w:sz w:val="22"/>
              </w:rPr>
              <w:lastRenderedPageBreak/>
              <w:t>Contar con diversos canales de atención para la ciudadanía y grupos de valor que garanticen el acceso a la entidad</w:t>
            </w:r>
            <w:r>
              <w:rPr>
                <w:rStyle w:val="ui-provider"/>
                <w:rFonts w:cs="Arial"/>
                <w:b/>
                <w:bCs/>
                <w:sz w:val="22"/>
              </w:rPr>
              <w:t xml:space="preserve">: </w:t>
            </w:r>
            <w:r w:rsidR="009B138A" w:rsidRPr="003B7FD5">
              <w:rPr>
                <w:rStyle w:val="ui-provider"/>
                <w:rFonts w:cs="Arial"/>
                <w:sz w:val="22"/>
              </w:rPr>
              <w:t xml:space="preserve">Disponer y mejorar </w:t>
            </w:r>
            <w:r w:rsidR="00CE53AB" w:rsidRPr="003B7FD5">
              <w:rPr>
                <w:rStyle w:val="ui-provider"/>
                <w:rFonts w:cs="Arial"/>
                <w:sz w:val="22"/>
              </w:rPr>
              <w:t>los canales de atención para facilitar el acceso a la ciudadaní</w:t>
            </w:r>
            <w:r w:rsidR="009E5E8B" w:rsidRPr="003B7FD5">
              <w:rPr>
                <w:rStyle w:val="ui-provider"/>
                <w:rFonts w:cs="Arial"/>
                <w:sz w:val="22"/>
              </w:rPr>
              <w:t xml:space="preserve">a. </w:t>
            </w:r>
          </w:p>
        </w:tc>
        <w:tc>
          <w:tcPr>
            <w:tcW w:w="1485" w:type="pct"/>
          </w:tcPr>
          <w:p w14:paraId="450F0356" w14:textId="4F1C1D0B" w:rsidR="00F11D27" w:rsidRPr="003B7FD5" w:rsidRDefault="67196CB2" w:rsidP="007A2CBA">
            <w:pPr>
              <w:jc w:val="both"/>
              <w:rPr>
                <w:rStyle w:val="ui-provider"/>
                <w:rFonts w:cs="Arial"/>
                <w:sz w:val="22"/>
              </w:rPr>
            </w:pPr>
            <w:r w:rsidRPr="003B7FD5">
              <w:rPr>
                <w:rStyle w:val="ui-provider"/>
                <w:rFonts w:cs="Arial"/>
                <w:sz w:val="22"/>
              </w:rPr>
              <w:t xml:space="preserve">Informes de los canales de atención, Manual de Protocolo de Atención y documentos relacionados. </w:t>
            </w:r>
          </w:p>
        </w:tc>
      </w:tr>
      <w:tr w:rsidR="00B54175" w:rsidRPr="00971814" w14:paraId="04870BF0" w14:textId="77777777" w:rsidTr="00102AD6">
        <w:trPr>
          <w:trHeight w:val="3218"/>
        </w:trPr>
        <w:tc>
          <w:tcPr>
            <w:tcW w:w="1456" w:type="pct"/>
          </w:tcPr>
          <w:p w14:paraId="01A306A5" w14:textId="70806746" w:rsidR="0078716F" w:rsidRPr="003B7FD5" w:rsidRDefault="009E5E8B" w:rsidP="007A2CBA">
            <w:pPr>
              <w:jc w:val="both"/>
              <w:rPr>
                <w:rStyle w:val="ui-provider"/>
                <w:rFonts w:cs="Arial"/>
                <w:sz w:val="22"/>
              </w:rPr>
            </w:pPr>
            <w:r w:rsidRPr="003B7FD5">
              <w:rPr>
                <w:rStyle w:val="ui-provider"/>
                <w:rFonts w:cs="Arial"/>
                <w:sz w:val="22"/>
              </w:rPr>
              <w:t>E</w:t>
            </w:r>
            <w:r w:rsidR="0078716F" w:rsidRPr="003B7FD5">
              <w:rPr>
                <w:rStyle w:val="ui-provider"/>
                <w:rFonts w:cs="Arial"/>
                <w:sz w:val="22"/>
              </w:rPr>
              <w:t xml:space="preserve">scenarios de relacionamiento dialogantes, incluyentes y que construyan confianza pública: </w:t>
            </w:r>
          </w:p>
          <w:p w14:paraId="5144121E" w14:textId="2E1EB8A6" w:rsidR="00B54175" w:rsidRPr="003B7FD5" w:rsidRDefault="00B54175" w:rsidP="007A2CBA">
            <w:pPr>
              <w:jc w:val="both"/>
              <w:rPr>
                <w:rStyle w:val="ui-provider"/>
                <w:rFonts w:cs="Arial"/>
                <w:color w:val="7F7F7F" w:themeColor="text1" w:themeTint="80"/>
                <w:sz w:val="22"/>
              </w:rPr>
            </w:pPr>
          </w:p>
        </w:tc>
        <w:tc>
          <w:tcPr>
            <w:tcW w:w="2059" w:type="pct"/>
          </w:tcPr>
          <w:p w14:paraId="3B77F0AD" w14:textId="0FE396D1" w:rsidR="00B54175" w:rsidRPr="00102AD6" w:rsidRDefault="00102AD6" w:rsidP="007A2CBA">
            <w:pPr>
              <w:jc w:val="both"/>
              <w:rPr>
                <w:rStyle w:val="ui-provider"/>
                <w:rFonts w:cs="Arial"/>
                <w:sz w:val="22"/>
              </w:rPr>
            </w:pPr>
            <w:r w:rsidRPr="00102AD6">
              <w:rPr>
                <w:rStyle w:val="ui-provider"/>
                <w:rFonts w:cs="Arial"/>
                <w:b/>
                <w:bCs/>
                <w:sz w:val="22"/>
              </w:rPr>
              <w:t>Fortalecer las capacidades de los servidores, servidoras y agentes de servicio* de la entidad, para brindar una atención humanizada y de excelencia:</w:t>
            </w:r>
            <w:r>
              <w:rPr>
                <w:rStyle w:val="ui-provider"/>
                <w:rFonts w:cs="Arial"/>
                <w:sz w:val="22"/>
              </w:rPr>
              <w:t xml:space="preserve"> </w:t>
            </w:r>
            <w:r w:rsidR="00FA1161" w:rsidRPr="003B7FD5">
              <w:rPr>
                <w:rStyle w:val="ui-provider"/>
                <w:rFonts w:cs="Arial"/>
                <w:sz w:val="22"/>
              </w:rPr>
              <w:t xml:space="preserve">Desarrollar capacitaciones, talleres, socializaciones, </w:t>
            </w:r>
            <w:r w:rsidRPr="003B7FD5">
              <w:rPr>
                <w:rStyle w:val="ui-provider"/>
                <w:rFonts w:cs="Arial"/>
                <w:sz w:val="22"/>
              </w:rPr>
              <w:t>sensibilizaciones</w:t>
            </w:r>
            <w:r w:rsidR="759F947C" w:rsidRPr="003B7FD5">
              <w:rPr>
                <w:rStyle w:val="ui-provider"/>
                <w:rFonts w:cs="Arial"/>
                <w:sz w:val="22"/>
              </w:rPr>
              <w:t xml:space="preserve"> a </w:t>
            </w:r>
            <w:r w:rsidR="7258717E" w:rsidRPr="003B7FD5">
              <w:rPr>
                <w:rStyle w:val="ui-provider"/>
                <w:rFonts w:cs="Arial"/>
                <w:sz w:val="22"/>
              </w:rPr>
              <w:t>los servidores, servidoras</w:t>
            </w:r>
            <w:r w:rsidR="759F947C" w:rsidRPr="003B7FD5">
              <w:rPr>
                <w:rStyle w:val="ui-provider"/>
                <w:rFonts w:cs="Arial"/>
                <w:sz w:val="22"/>
              </w:rPr>
              <w:t xml:space="preserve"> y agentes de la entidad, de forma periódica en temas que fortalezcan su conocimiento frente </w:t>
            </w:r>
            <w:r w:rsidR="7BBDA6B9" w:rsidRPr="003B7FD5">
              <w:rPr>
                <w:rStyle w:val="ui-provider"/>
                <w:rFonts w:cs="Arial"/>
                <w:sz w:val="22"/>
              </w:rPr>
              <w:t xml:space="preserve">al </w:t>
            </w:r>
            <w:r w:rsidR="759F947C" w:rsidRPr="003B7FD5">
              <w:rPr>
                <w:rStyle w:val="ui-provider"/>
                <w:rFonts w:cs="Arial"/>
                <w:sz w:val="22"/>
              </w:rPr>
              <w:t>servicio al ciudadano y que contribuya a la protección de los derechos y deberes del Sistema de Salud.</w:t>
            </w:r>
            <w:r w:rsidR="19414868" w:rsidRPr="003B7FD5">
              <w:rPr>
                <w:rStyle w:val="ui-provider"/>
                <w:rFonts w:cs="Arial"/>
                <w:sz w:val="22"/>
              </w:rPr>
              <w:t xml:space="preserve">  </w:t>
            </w:r>
          </w:p>
        </w:tc>
        <w:tc>
          <w:tcPr>
            <w:tcW w:w="1485" w:type="pct"/>
          </w:tcPr>
          <w:p w14:paraId="2EEB185A" w14:textId="6F0AF006" w:rsidR="00FA1161" w:rsidRPr="003B7FD5" w:rsidRDefault="00FA1161" w:rsidP="007A2CBA">
            <w:pPr>
              <w:jc w:val="both"/>
              <w:rPr>
                <w:rStyle w:val="ui-provider"/>
                <w:rFonts w:cs="Arial"/>
                <w:sz w:val="22"/>
              </w:rPr>
            </w:pPr>
            <w:r w:rsidRPr="003B7FD5">
              <w:rPr>
                <w:rStyle w:val="ui-provider"/>
                <w:rFonts w:cs="Arial"/>
                <w:sz w:val="22"/>
              </w:rPr>
              <w:t xml:space="preserve">Memorias de las socializaciones, listados de asistencia. v </w:t>
            </w:r>
          </w:p>
          <w:p w14:paraId="561D3DE4" w14:textId="7F20F886" w:rsidR="00B54175" w:rsidRPr="003B7FD5" w:rsidRDefault="0194A8A0" w:rsidP="007A2CBA">
            <w:pPr>
              <w:jc w:val="both"/>
              <w:rPr>
                <w:rStyle w:val="ui-provider"/>
                <w:rFonts w:cs="Arial"/>
                <w:sz w:val="22"/>
              </w:rPr>
            </w:pPr>
            <w:r w:rsidRPr="003B7FD5">
              <w:rPr>
                <w:rStyle w:val="ui-provider"/>
                <w:rFonts w:cs="Arial"/>
                <w:sz w:val="22"/>
              </w:rPr>
              <w:t>Cronograma de actividades para la implementación de la Política de Servicio al Ciudadano del Plan Anual de Gestión - PAG</w:t>
            </w:r>
          </w:p>
          <w:p w14:paraId="0358E648" w14:textId="1690789F" w:rsidR="00B54175" w:rsidRPr="003B7FD5" w:rsidRDefault="1A7CC6CB" w:rsidP="007A2CBA">
            <w:pPr>
              <w:jc w:val="both"/>
              <w:rPr>
                <w:rStyle w:val="ui-provider"/>
                <w:rFonts w:cs="Arial"/>
                <w:color w:val="7F7F7F" w:themeColor="text1" w:themeTint="80"/>
                <w:sz w:val="22"/>
              </w:rPr>
            </w:pPr>
            <w:r w:rsidRPr="003B7FD5">
              <w:rPr>
                <w:rStyle w:val="ui-provider"/>
                <w:rFonts w:cs="Arial"/>
                <w:sz w:val="22"/>
              </w:rPr>
              <w:t xml:space="preserve">Formulario Único de Reporte de Avances de la Gestión </w:t>
            </w:r>
            <w:r w:rsidR="00971814" w:rsidRPr="003B7FD5">
              <w:rPr>
                <w:rStyle w:val="ui-provider"/>
                <w:rFonts w:cs="Arial"/>
                <w:sz w:val="22"/>
              </w:rPr>
              <w:t>–</w:t>
            </w:r>
            <w:r w:rsidRPr="003B7FD5">
              <w:rPr>
                <w:rStyle w:val="ui-provider"/>
                <w:rFonts w:cs="Arial"/>
                <w:sz w:val="22"/>
              </w:rPr>
              <w:t xml:space="preserve"> FURAG</w:t>
            </w:r>
            <w:r w:rsidR="00971814" w:rsidRPr="003B7FD5">
              <w:rPr>
                <w:rStyle w:val="ui-provider"/>
                <w:rFonts w:cs="Arial"/>
                <w:sz w:val="22"/>
              </w:rPr>
              <w:t>.</w:t>
            </w:r>
          </w:p>
        </w:tc>
      </w:tr>
      <w:tr w:rsidR="7F50EA3E" w:rsidRPr="00971814" w14:paraId="73FB295D" w14:textId="77777777" w:rsidTr="007A2CBA">
        <w:trPr>
          <w:trHeight w:val="4579"/>
        </w:trPr>
        <w:tc>
          <w:tcPr>
            <w:tcW w:w="1456" w:type="pct"/>
          </w:tcPr>
          <w:p w14:paraId="7B38AC2A" w14:textId="65BFDE8C" w:rsidR="0078716F" w:rsidRPr="003B7FD5" w:rsidRDefault="009E5E8B" w:rsidP="007A2CBA">
            <w:pPr>
              <w:jc w:val="both"/>
              <w:rPr>
                <w:rStyle w:val="ui-provider"/>
                <w:rFonts w:cs="Arial"/>
                <w:sz w:val="22"/>
              </w:rPr>
            </w:pPr>
            <w:r w:rsidRPr="003B7FD5">
              <w:rPr>
                <w:rStyle w:val="ui-provider"/>
                <w:rFonts w:cs="Arial"/>
                <w:sz w:val="22"/>
              </w:rPr>
              <w:lastRenderedPageBreak/>
              <w:t>E</w:t>
            </w:r>
            <w:r w:rsidR="0078716F" w:rsidRPr="003B7FD5">
              <w:rPr>
                <w:rStyle w:val="ui-provider"/>
                <w:rFonts w:cs="Arial"/>
                <w:sz w:val="22"/>
              </w:rPr>
              <w:t xml:space="preserve">scenarios de relacionamiento dialogantes, incluyentes y que construyan confianza pública: </w:t>
            </w:r>
          </w:p>
          <w:p w14:paraId="70E1C466" w14:textId="23ECEF98" w:rsidR="7F50EA3E" w:rsidRPr="003B7FD5" w:rsidRDefault="7F50EA3E" w:rsidP="007A2CBA">
            <w:pPr>
              <w:jc w:val="both"/>
              <w:rPr>
                <w:rStyle w:val="ui-provider"/>
                <w:rFonts w:cs="Arial"/>
                <w:sz w:val="22"/>
              </w:rPr>
            </w:pPr>
          </w:p>
        </w:tc>
        <w:tc>
          <w:tcPr>
            <w:tcW w:w="2059" w:type="pct"/>
          </w:tcPr>
          <w:p w14:paraId="0BE0BA4F" w14:textId="666FD6A8" w:rsidR="00FA1161" w:rsidRPr="00102AD6" w:rsidRDefault="00102AD6" w:rsidP="007A2CBA">
            <w:pPr>
              <w:jc w:val="both"/>
              <w:rPr>
                <w:rStyle w:val="ui-provider"/>
                <w:rFonts w:cs="Arial"/>
                <w:b/>
                <w:bCs/>
                <w:sz w:val="22"/>
              </w:rPr>
            </w:pPr>
            <w:r w:rsidRPr="00102AD6">
              <w:rPr>
                <w:rStyle w:val="ui-provider"/>
                <w:rFonts w:cs="Arial"/>
                <w:b/>
                <w:bCs/>
                <w:sz w:val="22"/>
              </w:rPr>
              <w:t>Elaborar y socializar lineamientos orientados a fortalecer el relacionamiento con la ciudadanía</w:t>
            </w:r>
            <w:r>
              <w:rPr>
                <w:rStyle w:val="ui-provider"/>
                <w:rFonts w:cs="Arial"/>
                <w:b/>
                <w:bCs/>
                <w:sz w:val="22"/>
              </w:rPr>
              <w:t xml:space="preserve">: </w:t>
            </w:r>
            <w:r w:rsidR="00FA1161" w:rsidRPr="003B7FD5">
              <w:rPr>
                <w:rStyle w:val="ui-provider"/>
                <w:rFonts w:cs="Arial"/>
                <w:sz w:val="22"/>
              </w:rPr>
              <w:t>Elaborar y/o actualizar los lineamiento</w:t>
            </w:r>
            <w:r w:rsidR="009E5E8B" w:rsidRPr="003B7FD5">
              <w:rPr>
                <w:rStyle w:val="ui-provider"/>
                <w:rFonts w:cs="Arial"/>
                <w:sz w:val="22"/>
              </w:rPr>
              <w:t xml:space="preserve">s para brindar una atención respetuosa y humanizada. </w:t>
            </w:r>
            <w:r w:rsidR="00FA1161" w:rsidRPr="003B7FD5">
              <w:rPr>
                <w:rStyle w:val="ui-provider"/>
                <w:rFonts w:cs="Arial"/>
                <w:sz w:val="22"/>
              </w:rPr>
              <w:t xml:space="preserve"> </w:t>
            </w:r>
          </w:p>
          <w:p w14:paraId="26312AE5" w14:textId="70409042" w:rsidR="0E6C87C2" w:rsidRPr="003B7FD5" w:rsidRDefault="00FA1161" w:rsidP="007A2CBA">
            <w:pPr>
              <w:jc w:val="both"/>
              <w:rPr>
                <w:rStyle w:val="ui-provider"/>
                <w:rFonts w:cs="Arial"/>
                <w:sz w:val="22"/>
              </w:rPr>
            </w:pPr>
            <w:r w:rsidRPr="003B7FD5">
              <w:rPr>
                <w:rStyle w:val="ui-provider"/>
                <w:rFonts w:cs="Arial"/>
                <w:sz w:val="22"/>
              </w:rPr>
              <w:t xml:space="preserve">Dar a conocer </w:t>
            </w:r>
            <w:r w:rsidR="2F644C69" w:rsidRPr="003B7FD5">
              <w:rPr>
                <w:rStyle w:val="ui-provider"/>
                <w:rFonts w:cs="Arial"/>
                <w:sz w:val="22"/>
              </w:rPr>
              <w:t xml:space="preserve">a </w:t>
            </w:r>
            <w:r w:rsidR="007A2CBA" w:rsidRPr="003B7FD5">
              <w:rPr>
                <w:rStyle w:val="ui-provider"/>
                <w:rFonts w:cs="Arial"/>
                <w:sz w:val="22"/>
              </w:rPr>
              <w:t>los usuarios</w:t>
            </w:r>
            <w:r w:rsidR="2F644C69" w:rsidRPr="003B7FD5">
              <w:rPr>
                <w:rStyle w:val="ui-provider"/>
                <w:rFonts w:cs="Arial"/>
                <w:sz w:val="22"/>
              </w:rPr>
              <w:t xml:space="preserve"> del sistema de salud</w:t>
            </w:r>
            <w:r w:rsidR="7D365AF1" w:rsidRPr="003B7FD5">
              <w:rPr>
                <w:rStyle w:val="ui-provider"/>
                <w:rFonts w:cs="Arial"/>
                <w:sz w:val="22"/>
              </w:rPr>
              <w:t xml:space="preserve">, el </w:t>
            </w:r>
            <w:r w:rsidR="7B9CBB74" w:rsidRPr="003B7FD5">
              <w:rPr>
                <w:rStyle w:val="ui-provider"/>
                <w:rFonts w:cs="Arial"/>
                <w:sz w:val="22"/>
              </w:rPr>
              <w:t xml:space="preserve">trato respetuoso, cálido y considerado </w:t>
            </w:r>
            <w:r w:rsidR="4B00CCF9" w:rsidRPr="003B7FD5">
              <w:rPr>
                <w:rStyle w:val="ui-provider"/>
                <w:rFonts w:cs="Arial"/>
                <w:sz w:val="22"/>
              </w:rPr>
              <w:t xml:space="preserve">que deben recibir en el ejercicio efectivo de sus derechos. </w:t>
            </w:r>
          </w:p>
        </w:tc>
        <w:tc>
          <w:tcPr>
            <w:tcW w:w="1485" w:type="pct"/>
          </w:tcPr>
          <w:p w14:paraId="4F273B53" w14:textId="53981468" w:rsidR="2D889B07" w:rsidRPr="003B7FD5" w:rsidRDefault="60EF939D" w:rsidP="007A2CBA">
            <w:pPr>
              <w:rPr>
                <w:rStyle w:val="ui-provider"/>
                <w:rFonts w:cs="Arial"/>
                <w:sz w:val="22"/>
              </w:rPr>
            </w:pPr>
            <w:r w:rsidRPr="003B7FD5">
              <w:rPr>
                <w:rStyle w:val="ui-provider"/>
                <w:rFonts w:cs="Arial"/>
                <w:sz w:val="22"/>
              </w:rPr>
              <w:t>Carta de trato digno publicada.</w:t>
            </w:r>
          </w:p>
          <w:p w14:paraId="56A97830" w14:textId="0B06E36F" w:rsidR="00FA1161" w:rsidRPr="003B7FD5" w:rsidRDefault="00FA1161" w:rsidP="007A2CBA">
            <w:pPr>
              <w:rPr>
                <w:rStyle w:val="ui-provider"/>
                <w:rFonts w:cs="Arial"/>
                <w:sz w:val="22"/>
              </w:rPr>
            </w:pPr>
            <w:r w:rsidRPr="003B7FD5">
              <w:rPr>
                <w:rStyle w:val="ui-provider"/>
                <w:rFonts w:cs="Arial"/>
                <w:sz w:val="22"/>
              </w:rPr>
              <w:t xml:space="preserve">Documentos y lineamiento oficializados en el SIG. </w:t>
            </w:r>
          </w:p>
          <w:p w14:paraId="6E2258BE" w14:textId="6A80E58A" w:rsidR="00FA1161" w:rsidRPr="003B7FD5" w:rsidRDefault="00FA1161" w:rsidP="007A2CBA">
            <w:pPr>
              <w:rPr>
                <w:rStyle w:val="ui-provider"/>
                <w:rFonts w:cs="Arial"/>
                <w:sz w:val="22"/>
              </w:rPr>
            </w:pPr>
            <w:r w:rsidRPr="003B7FD5">
              <w:rPr>
                <w:rStyle w:val="ui-provider"/>
                <w:rFonts w:cs="Arial"/>
                <w:sz w:val="22"/>
              </w:rPr>
              <w:t xml:space="preserve">Memorias de socialización. </w:t>
            </w:r>
          </w:p>
          <w:p w14:paraId="58E43E69" w14:textId="6DF2C3E9" w:rsidR="2D889B07" w:rsidRPr="003B7FD5" w:rsidRDefault="2D889B07" w:rsidP="007A2CBA">
            <w:pPr>
              <w:jc w:val="both"/>
              <w:rPr>
                <w:rStyle w:val="ui-provider"/>
                <w:rFonts w:cs="Arial"/>
                <w:sz w:val="22"/>
              </w:rPr>
            </w:pPr>
          </w:p>
        </w:tc>
      </w:tr>
      <w:tr w:rsidR="0068208B" w:rsidRPr="00971814" w14:paraId="7503122B" w14:textId="77777777" w:rsidTr="00102AD6">
        <w:trPr>
          <w:trHeight w:val="632"/>
        </w:trPr>
        <w:tc>
          <w:tcPr>
            <w:tcW w:w="1456" w:type="pct"/>
          </w:tcPr>
          <w:p w14:paraId="20B0776B" w14:textId="2B23F7CB" w:rsidR="0078716F" w:rsidRPr="003B7FD5" w:rsidRDefault="009E5E8B" w:rsidP="007A2CBA">
            <w:pPr>
              <w:jc w:val="both"/>
              <w:rPr>
                <w:rStyle w:val="ui-provider"/>
                <w:rFonts w:cs="Arial"/>
                <w:sz w:val="22"/>
              </w:rPr>
            </w:pPr>
            <w:r w:rsidRPr="003B7FD5">
              <w:rPr>
                <w:rStyle w:val="ui-provider"/>
                <w:rFonts w:cs="Arial"/>
                <w:sz w:val="22"/>
              </w:rPr>
              <w:t>E</w:t>
            </w:r>
            <w:r w:rsidR="0078716F" w:rsidRPr="003B7FD5">
              <w:rPr>
                <w:rStyle w:val="ui-provider"/>
                <w:rFonts w:cs="Arial"/>
                <w:sz w:val="22"/>
              </w:rPr>
              <w:t>scenarios de relacionamiento dialogantes, incluyentes y que construyan confianza pública:</w:t>
            </w:r>
          </w:p>
          <w:p w14:paraId="4DCF5BF8" w14:textId="4713E0A6" w:rsidR="0068208B" w:rsidRPr="003B7FD5" w:rsidRDefault="0068208B" w:rsidP="007A2CBA">
            <w:pPr>
              <w:jc w:val="both"/>
              <w:rPr>
                <w:rStyle w:val="ui-provider"/>
                <w:rFonts w:cs="Arial"/>
                <w:sz w:val="22"/>
              </w:rPr>
            </w:pPr>
          </w:p>
        </w:tc>
        <w:tc>
          <w:tcPr>
            <w:tcW w:w="2059" w:type="pct"/>
          </w:tcPr>
          <w:p w14:paraId="27082927" w14:textId="2AEFE0E0" w:rsidR="0068208B" w:rsidRPr="00102AD6" w:rsidRDefault="00102AD6" w:rsidP="007A2CBA">
            <w:pPr>
              <w:jc w:val="both"/>
              <w:rPr>
                <w:rStyle w:val="ui-provider"/>
                <w:rFonts w:cs="Arial"/>
                <w:b/>
                <w:bCs/>
                <w:sz w:val="22"/>
              </w:rPr>
            </w:pPr>
            <w:r w:rsidRPr="00102AD6">
              <w:rPr>
                <w:rStyle w:val="ui-provider"/>
                <w:rFonts w:cs="Arial"/>
                <w:b/>
                <w:bCs/>
                <w:sz w:val="22"/>
              </w:rPr>
              <w:t>Adoptar y adaptar al interior de la entidad buenas prácticas de servicio al ciudadano:</w:t>
            </w:r>
            <w:r>
              <w:rPr>
                <w:rStyle w:val="ui-provider"/>
                <w:rFonts w:cs="Arial"/>
                <w:b/>
                <w:bCs/>
                <w:sz w:val="22"/>
              </w:rPr>
              <w:t xml:space="preserve"> </w:t>
            </w:r>
            <w:r w:rsidR="4450A946" w:rsidRPr="003B7FD5">
              <w:rPr>
                <w:rStyle w:val="ui-provider"/>
                <w:rFonts w:cs="Arial"/>
                <w:sz w:val="22"/>
              </w:rPr>
              <w:t xml:space="preserve">Identificar y priorizar </w:t>
            </w:r>
            <w:r w:rsidR="4FCD64BF" w:rsidRPr="003B7FD5">
              <w:rPr>
                <w:rStyle w:val="ui-provider"/>
                <w:rFonts w:cs="Arial"/>
                <w:sz w:val="22"/>
              </w:rPr>
              <w:t>la</w:t>
            </w:r>
            <w:r w:rsidR="4450A946" w:rsidRPr="003B7FD5">
              <w:rPr>
                <w:rStyle w:val="ui-provider"/>
                <w:rFonts w:cs="Arial"/>
                <w:sz w:val="22"/>
              </w:rPr>
              <w:t xml:space="preserve"> interrelación con entidades públicas y organizaciones privadas, las bu</w:t>
            </w:r>
            <w:r w:rsidR="73737251" w:rsidRPr="003B7FD5">
              <w:rPr>
                <w:rStyle w:val="ui-provider"/>
                <w:rFonts w:cs="Arial"/>
                <w:sz w:val="22"/>
              </w:rPr>
              <w:t xml:space="preserve">enas </w:t>
            </w:r>
            <w:r w:rsidR="0FC9EB69" w:rsidRPr="003B7FD5">
              <w:rPr>
                <w:rStyle w:val="ui-provider"/>
                <w:rFonts w:cs="Arial"/>
                <w:sz w:val="22"/>
              </w:rPr>
              <w:t>prácticas</w:t>
            </w:r>
            <w:r w:rsidR="73737251" w:rsidRPr="003B7FD5">
              <w:rPr>
                <w:rStyle w:val="ui-provider"/>
                <w:rFonts w:cs="Arial"/>
                <w:sz w:val="22"/>
              </w:rPr>
              <w:t xml:space="preserve"> de servicio al ciudadano para adoptarlas y adaptarlas al interior de la entidad.</w:t>
            </w:r>
          </w:p>
        </w:tc>
        <w:tc>
          <w:tcPr>
            <w:tcW w:w="1485" w:type="pct"/>
          </w:tcPr>
          <w:p w14:paraId="7F1F761C" w14:textId="05B8A218" w:rsidR="0068208B" w:rsidRPr="003B7FD5" w:rsidRDefault="5490A583" w:rsidP="007A2CBA">
            <w:pPr>
              <w:jc w:val="both"/>
              <w:rPr>
                <w:rStyle w:val="ui-provider"/>
                <w:rFonts w:cs="Arial"/>
                <w:sz w:val="22"/>
              </w:rPr>
            </w:pPr>
            <w:r w:rsidRPr="003B7FD5">
              <w:rPr>
                <w:rStyle w:val="ui-provider"/>
                <w:rFonts w:cs="Arial"/>
                <w:sz w:val="22"/>
              </w:rPr>
              <w:t xml:space="preserve">Documento de Buenas </w:t>
            </w:r>
            <w:r w:rsidR="42DCE7BC" w:rsidRPr="003B7FD5">
              <w:rPr>
                <w:rStyle w:val="ui-provider"/>
                <w:rFonts w:cs="Arial"/>
                <w:sz w:val="22"/>
              </w:rPr>
              <w:t>Prácticas</w:t>
            </w:r>
            <w:r w:rsidRPr="003B7FD5">
              <w:rPr>
                <w:rStyle w:val="ui-provider"/>
                <w:rFonts w:cs="Arial"/>
                <w:sz w:val="22"/>
              </w:rPr>
              <w:t xml:space="preserve">. </w:t>
            </w:r>
          </w:p>
        </w:tc>
      </w:tr>
      <w:tr w:rsidR="0068208B" w:rsidRPr="00971814" w14:paraId="42315E7F" w14:textId="77777777" w:rsidTr="00102AD6">
        <w:trPr>
          <w:trHeight w:val="3426"/>
        </w:trPr>
        <w:tc>
          <w:tcPr>
            <w:tcW w:w="1456" w:type="pct"/>
          </w:tcPr>
          <w:p w14:paraId="36CD2025" w14:textId="2C384092" w:rsidR="0078716F" w:rsidRPr="003B7FD5" w:rsidRDefault="009E5E8B" w:rsidP="007A2CBA">
            <w:pPr>
              <w:jc w:val="both"/>
              <w:rPr>
                <w:rFonts w:cs="Arial"/>
                <w:sz w:val="22"/>
              </w:rPr>
            </w:pPr>
            <w:r w:rsidRPr="003B7FD5">
              <w:rPr>
                <w:rStyle w:val="ui-provider"/>
                <w:rFonts w:cs="Arial"/>
                <w:sz w:val="22"/>
              </w:rPr>
              <w:lastRenderedPageBreak/>
              <w:t>E</w:t>
            </w:r>
            <w:r w:rsidR="0078716F" w:rsidRPr="003B7FD5">
              <w:rPr>
                <w:rStyle w:val="ui-provider"/>
                <w:rFonts w:cs="Arial"/>
                <w:sz w:val="22"/>
              </w:rPr>
              <w:t>scenarios de</w:t>
            </w:r>
            <w:r w:rsidR="0078716F" w:rsidRPr="003B7FD5">
              <w:rPr>
                <w:rFonts w:cs="Arial"/>
                <w:sz w:val="22"/>
              </w:rPr>
              <w:t xml:space="preserve"> </w:t>
            </w:r>
            <w:r w:rsidR="0078716F" w:rsidRPr="003B7FD5">
              <w:rPr>
                <w:rStyle w:val="ui-provider"/>
                <w:rFonts w:cs="Arial"/>
                <w:sz w:val="22"/>
              </w:rPr>
              <w:t>relacionamiento dialogantes, incluyentes y que construyan confianza pública</w:t>
            </w:r>
            <w:r w:rsidRPr="003B7FD5">
              <w:rPr>
                <w:rStyle w:val="ui-provider"/>
                <w:rFonts w:cs="Arial"/>
                <w:sz w:val="22"/>
              </w:rPr>
              <w:t>:</w:t>
            </w:r>
          </w:p>
          <w:p w14:paraId="30123806" w14:textId="4DE39334" w:rsidR="0068208B" w:rsidRPr="003B7FD5" w:rsidRDefault="0068208B" w:rsidP="007A2CBA">
            <w:pPr>
              <w:jc w:val="both"/>
              <w:rPr>
                <w:rFonts w:cs="Arial"/>
                <w:color w:val="7F7F7F" w:themeColor="text1" w:themeTint="80"/>
                <w:sz w:val="22"/>
              </w:rPr>
            </w:pPr>
          </w:p>
        </w:tc>
        <w:tc>
          <w:tcPr>
            <w:tcW w:w="2059" w:type="pct"/>
          </w:tcPr>
          <w:p w14:paraId="45FC0B35" w14:textId="1843E1FC" w:rsidR="009B138A" w:rsidRPr="003B7FD5" w:rsidRDefault="00102AD6" w:rsidP="007A2CBA">
            <w:pPr>
              <w:jc w:val="both"/>
              <w:rPr>
                <w:rStyle w:val="ui-provider"/>
                <w:rFonts w:cs="Arial"/>
                <w:sz w:val="22"/>
              </w:rPr>
            </w:pPr>
            <w:r w:rsidRPr="00102AD6">
              <w:rPr>
                <w:rStyle w:val="ui-provider"/>
                <w:rFonts w:cs="Arial"/>
                <w:b/>
                <w:bCs/>
                <w:sz w:val="22"/>
              </w:rPr>
              <w:t>Generar espacios de participación ciudadana para facilitar el ejercicio de los derechos y el cumplimiento de deberes:</w:t>
            </w:r>
            <w:r>
              <w:rPr>
                <w:rStyle w:val="ui-provider"/>
                <w:rFonts w:cs="Arial"/>
                <w:sz w:val="22"/>
              </w:rPr>
              <w:t xml:space="preserve"> </w:t>
            </w:r>
            <w:r w:rsidR="4CC661F2" w:rsidRPr="003B7FD5">
              <w:rPr>
                <w:rStyle w:val="ui-provider"/>
                <w:rFonts w:cs="Arial"/>
                <w:sz w:val="22"/>
              </w:rPr>
              <w:t>Conocer las necesidades y expectativas de la ciudadanía a través de espacios participativos para</w:t>
            </w:r>
            <w:r w:rsidR="250845B0" w:rsidRPr="003B7FD5">
              <w:rPr>
                <w:rStyle w:val="ui-provider"/>
                <w:rFonts w:cs="Arial"/>
                <w:sz w:val="22"/>
              </w:rPr>
              <w:t xml:space="preserve"> mejorar la gestión de la entidad</w:t>
            </w:r>
            <w:r w:rsidR="43F08642" w:rsidRPr="003B7FD5">
              <w:rPr>
                <w:rStyle w:val="ui-provider"/>
                <w:rFonts w:cs="Arial"/>
                <w:sz w:val="22"/>
              </w:rPr>
              <w:t xml:space="preserve"> y</w:t>
            </w:r>
            <w:r w:rsidR="130488EB" w:rsidRPr="003B7FD5">
              <w:rPr>
                <w:rStyle w:val="ui-provider"/>
                <w:rFonts w:cs="Arial"/>
                <w:sz w:val="22"/>
              </w:rPr>
              <w:t xml:space="preserve"> la oferta institucional</w:t>
            </w:r>
            <w:r w:rsidR="009B138A" w:rsidRPr="003B7FD5">
              <w:rPr>
                <w:rStyle w:val="ui-provider"/>
                <w:rFonts w:cs="Arial"/>
                <w:sz w:val="22"/>
              </w:rPr>
              <w:t>, aplicando acciones de mejora en las estrategias a partir de los resultados en los escenarios participativos.</w:t>
            </w:r>
          </w:p>
        </w:tc>
        <w:tc>
          <w:tcPr>
            <w:tcW w:w="1485" w:type="pct"/>
          </w:tcPr>
          <w:p w14:paraId="3C7F4A76" w14:textId="0BE0D964" w:rsidR="009B138A" w:rsidRPr="003B7FD5" w:rsidRDefault="009B138A" w:rsidP="007A2CBA">
            <w:pPr>
              <w:jc w:val="both"/>
              <w:rPr>
                <w:rStyle w:val="ui-provider"/>
                <w:rFonts w:cs="Arial"/>
                <w:sz w:val="22"/>
              </w:rPr>
            </w:pPr>
            <w:r w:rsidRPr="003B7FD5">
              <w:rPr>
                <w:rStyle w:val="ui-provider"/>
                <w:rFonts w:cs="Arial"/>
                <w:sz w:val="22"/>
              </w:rPr>
              <w:t xml:space="preserve">Calendarios de eventos de participación. </w:t>
            </w:r>
          </w:p>
          <w:p w14:paraId="3297B3FC" w14:textId="77777777" w:rsidR="009B138A" w:rsidRPr="003B7FD5" w:rsidRDefault="009B138A" w:rsidP="007A2CBA">
            <w:pPr>
              <w:jc w:val="both"/>
              <w:rPr>
                <w:rStyle w:val="ui-provider"/>
                <w:rFonts w:cs="Arial"/>
                <w:sz w:val="22"/>
              </w:rPr>
            </w:pPr>
            <w:r w:rsidRPr="003B7FD5">
              <w:rPr>
                <w:rStyle w:val="ui-provider"/>
                <w:rFonts w:cs="Arial"/>
                <w:sz w:val="22"/>
              </w:rPr>
              <w:t>Memoria de los eventos.</w:t>
            </w:r>
          </w:p>
          <w:p w14:paraId="2DA92BED" w14:textId="74601A07" w:rsidR="009B138A" w:rsidRPr="003B7FD5" w:rsidRDefault="009B138A" w:rsidP="007A2CBA">
            <w:pPr>
              <w:jc w:val="both"/>
              <w:rPr>
                <w:rStyle w:val="ui-provider"/>
                <w:rFonts w:cs="Arial"/>
                <w:sz w:val="22"/>
              </w:rPr>
            </w:pPr>
            <w:r w:rsidRPr="003B7FD5">
              <w:rPr>
                <w:rStyle w:val="ui-provider"/>
                <w:rFonts w:cs="Arial"/>
                <w:sz w:val="22"/>
              </w:rPr>
              <w:t xml:space="preserve">Informe de Participación Ciudadana.  </w:t>
            </w:r>
          </w:p>
          <w:p w14:paraId="0C0E629D" w14:textId="7A586F0C" w:rsidR="0068208B" w:rsidRPr="003B7FD5" w:rsidRDefault="3F360777" w:rsidP="007A2CBA">
            <w:pPr>
              <w:jc w:val="both"/>
              <w:rPr>
                <w:rStyle w:val="ui-provider"/>
                <w:rFonts w:cs="Arial"/>
                <w:color w:val="7F7F7F" w:themeColor="text1" w:themeTint="80"/>
                <w:sz w:val="22"/>
              </w:rPr>
            </w:pPr>
            <w:r w:rsidRPr="003B7FD5">
              <w:rPr>
                <w:rStyle w:val="ui-provider"/>
                <w:rFonts w:cs="Arial"/>
                <w:sz w:val="22"/>
              </w:rPr>
              <w:t xml:space="preserve">Formulario Único de Reporte de Avances de la Gestión </w:t>
            </w:r>
            <w:r w:rsidR="00971814" w:rsidRPr="003B7FD5">
              <w:rPr>
                <w:rStyle w:val="ui-provider"/>
                <w:rFonts w:cs="Arial"/>
                <w:sz w:val="22"/>
              </w:rPr>
              <w:t>–</w:t>
            </w:r>
            <w:r w:rsidRPr="003B7FD5">
              <w:rPr>
                <w:rStyle w:val="ui-provider"/>
                <w:rFonts w:cs="Arial"/>
                <w:sz w:val="22"/>
              </w:rPr>
              <w:t xml:space="preserve"> FURAG</w:t>
            </w:r>
            <w:r w:rsidR="00971814" w:rsidRPr="003B7FD5">
              <w:rPr>
                <w:rStyle w:val="ui-provider"/>
                <w:rFonts w:cs="Arial"/>
                <w:sz w:val="22"/>
              </w:rPr>
              <w:t>.</w:t>
            </w:r>
          </w:p>
          <w:p w14:paraId="7146BF9A" w14:textId="597FCDD8" w:rsidR="0068208B" w:rsidRPr="003B7FD5" w:rsidRDefault="336ED0B3" w:rsidP="007A2CBA">
            <w:pPr>
              <w:jc w:val="both"/>
              <w:rPr>
                <w:rStyle w:val="ui-provider"/>
                <w:rFonts w:cs="Arial"/>
                <w:sz w:val="22"/>
              </w:rPr>
            </w:pPr>
            <w:r w:rsidRPr="003B7FD5">
              <w:rPr>
                <w:rStyle w:val="ui-provider"/>
                <w:rFonts w:cs="Arial"/>
                <w:sz w:val="22"/>
              </w:rPr>
              <w:t>Plan Anual de Gestión - PAG</w:t>
            </w:r>
          </w:p>
        </w:tc>
      </w:tr>
      <w:tr w:rsidR="7F50EA3E" w:rsidRPr="00971814" w14:paraId="4C7047E4" w14:textId="77777777" w:rsidTr="00102AD6">
        <w:trPr>
          <w:trHeight w:val="4990"/>
        </w:trPr>
        <w:tc>
          <w:tcPr>
            <w:tcW w:w="1456" w:type="pct"/>
          </w:tcPr>
          <w:p w14:paraId="1B42F8E6" w14:textId="77777777" w:rsidR="009E5E8B" w:rsidRPr="003B7FD5" w:rsidRDefault="009E5E8B" w:rsidP="007A2CBA">
            <w:pPr>
              <w:jc w:val="both"/>
              <w:rPr>
                <w:rFonts w:cs="Arial"/>
                <w:sz w:val="22"/>
              </w:rPr>
            </w:pPr>
            <w:r w:rsidRPr="003B7FD5">
              <w:rPr>
                <w:rStyle w:val="ui-provider"/>
                <w:rFonts w:cs="Arial"/>
                <w:sz w:val="22"/>
              </w:rPr>
              <w:lastRenderedPageBreak/>
              <w:t>Escenarios de</w:t>
            </w:r>
            <w:r w:rsidRPr="003B7FD5">
              <w:rPr>
                <w:rFonts w:cs="Arial"/>
                <w:sz w:val="22"/>
              </w:rPr>
              <w:t xml:space="preserve"> </w:t>
            </w:r>
            <w:r w:rsidRPr="003B7FD5">
              <w:rPr>
                <w:rStyle w:val="ui-provider"/>
                <w:rFonts w:cs="Arial"/>
                <w:sz w:val="22"/>
              </w:rPr>
              <w:t>relacionamiento dialogantes, incluyentes y que construyan confianza pública:</w:t>
            </w:r>
          </w:p>
          <w:p w14:paraId="7E1234B6" w14:textId="0E72EC08" w:rsidR="25158982" w:rsidRPr="003B7FD5" w:rsidRDefault="25158982" w:rsidP="007A2CBA">
            <w:pPr>
              <w:jc w:val="both"/>
              <w:rPr>
                <w:rStyle w:val="ui-provider"/>
                <w:rFonts w:cs="Arial"/>
                <w:sz w:val="22"/>
              </w:rPr>
            </w:pPr>
          </w:p>
        </w:tc>
        <w:tc>
          <w:tcPr>
            <w:tcW w:w="2059" w:type="pct"/>
          </w:tcPr>
          <w:p w14:paraId="5EF35597" w14:textId="5F576D5D" w:rsidR="14B31F75" w:rsidRPr="00102AD6" w:rsidRDefault="00102AD6" w:rsidP="007A2CBA">
            <w:pPr>
              <w:jc w:val="both"/>
              <w:rPr>
                <w:rStyle w:val="ui-provider"/>
                <w:rFonts w:cs="Arial"/>
                <w:b/>
                <w:bCs/>
                <w:sz w:val="22"/>
              </w:rPr>
            </w:pPr>
            <w:r w:rsidRPr="00102AD6">
              <w:rPr>
                <w:rStyle w:val="ui-provider"/>
                <w:rFonts w:cs="Arial"/>
                <w:b/>
                <w:bCs/>
                <w:sz w:val="22"/>
              </w:rPr>
              <w:t>Dar a conocer a la ciudadanía la gestión en las estrategias de participación</w:t>
            </w:r>
            <w:r>
              <w:rPr>
                <w:rStyle w:val="ui-provider"/>
                <w:rFonts w:cs="Arial"/>
                <w:b/>
                <w:bCs/>
                <w:sz w:val="22"/>
              </w:rPr>
              <w:t xml:space="preserve">: </w:t>
            </w:r>
            <w:r w:rsidR="14B31F75" w:rsidRPr="003B7FD5">
              <w:rPr>
                <w:rStyle w:val="ui-provider"/>
                <w:rFonts w:cs="Arial"/>
                <w:sz w:val="22"/>
              </w:rPr>
              <w:t xml:space="preserve">Generar retroalimentación en las mejoras de la gestión de la entidad </w:t>
            </w:r>
          </w:p>
          <w:p w14:paraId="3A8B3951" w14:textId="31FF2CF1" w:rsidR="7F50EA3E" w:rsidRPr="003B7FD5" w:rsidRDefault="7F50EA3E" w:rsidP="007A2CBA">
            <w:pPr>
              <w:rPr>
                <w:rStyle w:val="ui-provider"/>
                <w:rFonts w:cs="Arial"/>
                <w:sz w:val="22"/>
              </w:rPr>
            </w:pPr>
          </w:p>
        </w:tc>
        <w:tc>
          <w:tcPr>
            <w:tcW w:w="1485" w:type="pct"/>
          </w:tcPr>
          <w:p w14:paraId="0460CB9D" w14:textId="1302922C" w:rsidR="25158982" w:rsidRPr="003B7FD5" w:rsidRDefault="76C1C189" w:rsidP="007A2CBA">
            <w:pPr>
              <w:jc w:val="both"/>
              <w:rPr>
                <w:rStyle w:val="ui-provider"/>
                <w:rFonts w:cs="Arial"/>
                <w:sz w:val="22"/>
              </w:rPr>
            </w:pPr>
            <w:r w:rsidRPr="003B7FD5">
              <w:rPr>
                <w:rStyle w:val="ui-provider"/>
                <w:rFonts w:cs="Arial"/>
                <w:sz w:val="22"/>
              </w:rPr>
              <w:t>Formulario Único de Reporte de Avances de la Gestión - FURAG</w:t>
            </w:r>
          </w:p>
          <w:p w14:paraId="62313C51" w14:textId="6DEB32D3" w:rsidR="25158982" w:rsidRPr="003B7FD5" w:rsidRDefault="167105A1" w:rsidP="007A2CBA">
            <w:pPr>
              <w:jc w:val="both"/>
              <w:rPr>
                <w:rStyle w:val="ui-provider"/>
                <w:rFonts w:cs="Arial"/>
                <w:sz w:val="22"/>
              </w:rPr>
            </w:pPr>
            <w:r w:rsidRPr="003B7FD5">
              <w:rPr>
                <w:rStyle w:val="ui-provider"/>
                <w:rFonts w:cs="Arial"/>
                <w:sz w:val="22"/>
              </w:rPr>
              <w:t>Plan Anual de Gestión - PAG</w:t>
            </w:r>
          </w:p>
          <w:p w14:paraId="3D4A2CA6" w14:textId="4E09FAF1" w:rsidR="25158982" w:rsidRPr="003B7FD5" w:rsidRDefault="167105A1" w:rsidP="007A2CBA">
            <w:pPr>
              <w:jc w:val="both"/>
              <w:rPr>
                <w:rStyle w:val="ui-provider"/>
                <w:rFonts w:cs="Arial"/>
                <w:sz w:val="22"/>
              </w:rPr>
            </w:pPr>
            <w:r w:rsidRPr="003B7FD5">
              <w:rPr>
                <w:rStyle w:val="ui-provider"/>
                <w:rFonts w:cs="Arial"/>
                <w:sz w:val="22"/>
              </w:rPr>
              <w:t>Cronograma de participación ciudadana</w:t>
            </w:r>
          </w:p>
          <w:p w14:paraId="4AE52EED" w14:textId="78F7D5D9" w:rsidR="25158982" w:rsidRPr="003B7FD5" w:rsidRDefault="167105A1" w:rsidP="007A2CBA">
            <w:pPr>
              <w:jc w:val="both"/>
              <w:rPr>
                <w:rStyle w:val="ui-provider"/>
                <w:rFonts w:cs="Arial"/>
                <w:sz w:val="22"/>
              </w:rPr>
            </w:pPr>
            <w:r w:rsidRPr="003B7FD5">
              <w:rPr>
                <w:rStyle w:val="ui-provider"/>
                <w:rFonts w:cs="Arial"/>
                <w:sz w:val="22"/>
              </w:rPr>
              <w:t xml:space="preserve">Informe de encuesta </w:t>
            </w:r>
          </w:p>
        </w:tc>
      </w:tr>
      <w:tr w:rsidR="0068208B" w:rsidRPr="00971814" w14:paraId="4109A0DF" w14:textId="77777777" w:rsidTr="00102AD6">
        <w:tc>
          <w:tcPr>
            <w:tcW w:w="1456" w:type="pct"/>
          </w:tcPr>
          <w:p w14:paraId="1B507679" w14:textId="19B19573" w:rsidR="0068208B" w:rsidRPr="003B7FD5" w:rsidRDefault="4AE1A494" w:rsidP="007A2CBA">
            <w:pPr>
              <w:jc w:val="both"/>
              <w:rPr>
                <w:rStyle w:val="ui-provider"/>
                <w:rFonts w:cs="Arial"/>
                <w:color w:val="7F7F7F" w:themeColor="text1" w:themeTint="80"/>
                <w:sz w:val="22"/>
              </w:rPr>
            </w:pPr>
            <w:r w:rsidRPr="003B7FD5">
              <w:rPr>
                <w:rFonts w:cs="Arial"/>
                <w:sz w:val="22"/>
              </w:rPr>
              <w:t>Articular con otras dependencias y áreas de la entidad, las acciones que incidan en la Política de Servicio al Ciudadano.</w:t>
            </w:r>
          </w:p>
        </w:tc>
        <w:tc>
          <w:tcPr>
            <w:tcW w:w="2059" w:type="pct"/>
          </w:tcPr>
          <w:p w14:paraId="78DDB17B" w14:textId="35C39033" w:rsidR="0068208B" w:rsidRPr="00102AD6" w:rsidRDefault="00102AD6" w:rsidP="007A2CBA">
            <w:pPr>
              <w:jc w:val="both"/>
              <w:rPr>
                <w:rStyle w:val="ui-provider"/>
                <w:rFonts w:cs="Arial"/>
                <w:b/>
                <w:bCs/>
                <w:sz w:val="22"/>
              </w:rPr>
            </w:pPr>
            <w:r w:rsidRPr="00102AD6">
              <w:rPr>
                <w:rFonts w:eastAsia="Arial" w:cs="Arial"/>
                <w:b/>
                <w:bCs/>
                <w:sz w:val="22"/>
              </w:rPr>
              <w:t>Disponer la estrategia de servicio al ciudadano actualizada:</w:t>
            </w:r>
            <w:r>
              <w:rPr>
                <w:rFonts w:eastAsia="Arial" w:cs="Arial"/>
                <w:b/>
                <w:bCs/>
                <w:sz w:val="22"/>
              </w:rPr>
              <w:t xml:space="preserve"> </w:t>
            </w:r>
            <w:r w:rsidR="27C40E90" w:rsidRPr="003B7FD5">
              <w:rPr>
                <w:rStyle w:val="ui-provider"/>
                <w:rFonts w:cs="Arial"/>
                <w:sz w:val="22"/>
              </w:rPr>
              <w:t xml:space="preserve">Fortalecer la medición del desempeño Institucional </w:t>
            </w:r>
            <w:r w:rsidR="3394FA8D" w:rsidRPr="003B7FD5">
              <w:rPr>
                <w:rStyle w:val="ui-provider"/>
                <w:rFonts w:cs="Arial"/>
                <w:sz w:val="22"/>
              </w:rPr>
              <w:t xml:space="preserve">con las políticas que inciden en el relacionamiento con la </w:t>
            </w:r>
            <w:r w:rsidR="633920DE" w:rsidRPr="003B7FD5">
              <w:rPr>
                <w:rStyle w:val="ui-provider"/>
                <w:rFonts w:cs="Arial"/>
                <w:sz w:val="22"/>
              </w:rPr>
              <w:t>ciudadanía para</w:t>
            </w:r>
            <w:r w:rsidR="3394FA8D" w:rsidRPr="003B7FD5">
              <w:rPr>
                <w:rStyle w:val="ui-provider"/>
                <w:rFonts w:cs="Arial"/>
                <w:sz w:val="22"/>
              </w:rPr>
              <w:t xml:space="preserve"> apoyar dentro de sus procesos, acciones que tengan incidencia en servicio al ciudadano.</w:t>
            </w:r>
          </w:p>
        </w:tc>
        <w:tc>
          <w:tcPr>
            <w:tcW w:w="1485" w:type="pct"/>
          </w:tcPr>
          <w:p w14:paraId="6BEEBE5B" w14:textId="665A7624" w:rsidR="0068208B" w:rsidRPr="003B7FD5" w:rsidRDefault="3F360777" w:rsidP="007A2CBA">
            <w:pPr>
              <w:jc w:val="both"/>
              <w:rPr>
                <w:rStyle w:val="ui-provider"/>
                <w:rFonts w:cs="Arial"/>
                <w:color w:val="7F7F7F" w:themeColor="text1" w:themeTint="80"/>
                <w:sz w:val="22"/>
              </w:rPr>
            </w:pPr>
            <w:r w:rsidRPr="003B7FD5">
              <w:rPr>
                <w:rStyle w:val="ui-provider"/>
                <w:rFonts w:cs="Arial"/>
                <w:sz w:val="22"/>
              </w:rPr>
              <w:t>Formulario Único de Reporte de Avances de la Gestión - FURAG</w:t>
            </w:r>
          </w:p>
        </w:tc>
      </w:tr>
      <w:tr w:rsidR="7F50EA3E" w:rsidRPr="00971814" w14:paraId="50AEA541" w14:textId="77777777" w:rsidTr="00102AD6">
        <w:trPr>
          <w:trHeight w:val="300"/>
        </w:trPr>
        <w:tc>
          <w:tcPr>
            <w:tcW w:w="1456" w:type="pct"/>
          </w:tcPr>
          <w:p w14:paraId="39268EB8" w14:textId="67937E92" w:rsidR="7F50EA3E" w:rsidRPr="003B7FD5" w:rsidRDefault="7F50EA3E" w:rsidP="007A2CBA">
            <w:pPr>
              <w:jc w:val="both"/>
              <w:rPr>
                <w:rFonts w:cs="Arial"/>
                <w:sz w:val="22"/>
              </w:rPr>
            </w:pPr>
          </w:p>
        </w:tc>
        <w:tc>
          <w:tcPr>
            <w:tcW w:w="2059" w:type="pct"/>
          </w:tcPr>
          <w:p w14:paraId="66D907C9" w14:textId="524D16EF" w:rsidR="08723484" w:rsidRPr="003B7FD5" w:rsidRDefault="08723484" w:rsidP="007A2CBA">
            <w:pPr>
              <w:jc w:val="both"/>
              <w:rPr>
                <w:rStyle w:val="ui-provider"/>
                <w:rFonts w:cs="Arial"/>
                <w:sz w:val="22"/>
              </w:rPr>
            </w:pPr>
            <w:r w:rsidRPr="003B7FD5">
              <w:rPr>
                <w:rFonts w:cs="Arial"/>
                <w:sz w:val="22"/>
              </w:rPr>
              <w:t xml:space="preserve">Ejecutar e implementar las acciones orientadas a la mejora de la atención </w:t>
            </w:r>
            <w:r w:rsidR="4F7BDE52" w:rsidRPr="003B7FD5">
              <w:rPr>
                <w:rFonts w:cs="Arial"/>
                <w:sz w:val="22"/>
              </w:rPr>
              <w:t>a</w:t>
            </w:r>
            <w:r w:rsidRPr="003B7FD5">
              <w:rPr>
                <w:rFonts w:cs="Arial"/>
                <w:sz w:val="22"/>
              </w:rPr>
              <w:t xml:space="preserve"> la ciudadanía y los grupos de valor, de la oferta institucional y a su vez de la gestión pública de la entidad</w:t>
            </w:r>
            <w:r w:rsidR="1EBE3DA6" w:rsidRPr="003B7FD5">
              <w:rPr>
                <w:rFonts w:cs="Arial"/>
                <w:sz w:val="22"/>
              </w:rPr>
              <w:t>.</w:t>
            </w:r>
          </w:p>
        </w:tc>
        <w:tc>
          <w:tcPr>
            <w:tcW w:w="1485" w:type="pct"/>
          </w:tcPr>
          <w:p w14:paraId="1A4E4693" w14:textId="55B753B3" w:rsidR="7F50EA3E" w:rsidRPr="003B7FD5" w:rsidRDefault="41E3620E" w:rsidP="007A2CBA">
            <w:pPr>
              <w:jc w:val="both"/>
              <w:rPr>
                <w:rStyle w:val="ui-provider"/>
                <w:rFonts w:cs="Arial"/>
                <w:sz w:val="22"/>
              </w:rPr>
            </w:pPr>
            <w:r w:rsidRPr="003B7FD5">
              <w:rPr>
                <w:rStyle w:val="ui-provider"/>
                <w:rFonts w:cs="Arial"/>
                <w:sz w:val="22"/>
              </w:rPr>
              <w:t>F</w:t>
            </w:r>
            <w:r w:rsidR="3ED23996" w:rsidRPr="003B7FD5">
              <w:rPr>
                <w:rStyle w:val="ui-provider"/>
                <w:rFonts w:cs="Arial"/>
                <w:sz w:val="22"/>
              </w:rPr>
              <w:t>ormulario Único de Reporte de Avances de la Gestión - FURAG</w:t>
            </w:r>
          </w:p>
          <w:p w14:paraId="34AB256D" w14:textId="5C7A1C79" w:rsidR="7F50EA3E" w:rsidRPr="003B7FD5" w:rsidRDefault="0FB25CF0" w:rsidP="007A2CBA">
            <w:pPr>
              <w:jc w:val="both"/>
              <w:rPr>
                <w:rStyle w:val="ui-provider"/>
                <w:rFonts w:cs="Arial"/>
                <w:sz w:val="22"/>
              </w:rPr>
            </w:pPr>
            <w:r w:rsidRPr="003B7FD5">
              <w:rPr>
                <w:rStyle w:val="ui-provider"/>
                <w:rFonts w:cs="Arial"/>
                <w:sz w:val="22"/>
              </w:rPr>
              <w:t xml:space="preserve">Documento estratégico </w:t>
            </w:r>
          </w:p>
        </w:tc>
      </w:tr>
      <w:bookmarkEnd w:id="2"/>
      <w:bookmarkEnd w:id="3"/>
    </w:tbl>
    <w:p w14:paraId="1E05AA5A" w14:textId="2CC22C9B" w:rsidR="001E70FE" w:rsidRPr="001E70FE" w:rsidRDefault="001E70FE" w:rsidP="1EB58241">
      <w:pPr>
        <w:spacing w:before="0" w:after="160"/>
        <w:jc w:val="both"/>
        <w:rPr>
          <w:rFonts w:cs="Arial"/>
        </w:rPr>
      </w:pPr>
    </w:p>
    <w:p w14:paraId="67558E2B" w14:textId="6FBF886E" w:rsidR="001E70FE" w:rsidRPr="001E70FE" w:rsidRDefault="3212C3AA" w:rsidP="6EF9786A">
      <w:pPr>
        <w:spacing w:before="0" w:after="160"/>
        <w:jc w:val="both"/>
        <w:rPr>
          <w:rFonts w:cs="Arial"/>
          <w:i/>
          <w:iCs/>
        </w:rPr>
      </w:pPr>
      <w:r w:rsidRPr="6EF9786A">
        <w:rPr>
          <w:rFonts w:cs="Arial"/>
          <w:i/>
          <w:iCs/>
        </w:rPr>
        <w:t>*Agente</w:t>
      </w:r>
      <w:r w:rsidR="00CE53AB">
        <w:rPr>
          <w:rFonts w:cs="Arial"/>
          <w:i/>
          <w:iCs/>
        </w:rPr>
        <w:t xml:space="preserve"> de servicio</w:t>
      </w:r>
      <w:r w:rsidRPr="6EF9786A">
        <w:rPr>
          <w:rFonts w:cs="Arial"/>
          <w:i/>
          <w:iCs/>
        </w:rPr>
        <w:t>:</w:t>
      </w:r>
      <w:r w:rsidR="419213E1" w:rsidRPr="6EF9786A">
        <w:rPr>
          <w:rFonts w:cs="Arial"/>
          <w:i/>
          <w:iCs/>
        </w:rPr>
        <w:t xml:space="preserve"> Personal responsable de la interacción con los usuarios a través de los canales de atención dispuestos por la entidad (Telefónico, Chat, virtuales y Presenciales); ofreciendo orientación e información sobre sus consultas y solicitudes, registrando la información en los sistemas correspondientes que disponga la entidad.</w:t>
      </w:r>
    </w:p>
    <w:p w14:paraId="3748EE97" w14:textId="788C0606" w:rsidR="001E70FE" w:rsidRPr="001E70FE" w:rsidRDefault="14565736" w:rsidP="1EB58241">
      <w:pPr>
        <w:spacing w:before="0" w:after="160"/>
        <w:jc w:val="both"/>
        <w:rPr>
          <w:rFonts w:cs="Arial"/>
        </w:rPr>
      </w:pPr>
      <w:r w:rsidRPr="1EB58241">
        <w:rPr>
          <w:rFonts w:cs="Arial"/>
        </w:rPr>
        <w:t xml:space="preserve">A continuación, se relacionan las acciones internas y externas que se desarrollan de manera transversal en las diferentes áreas o dependencias en la entidad, en concordancia con las directrices anteriormente expuestas: </w:t>
      </w:r>
    </w:p>
    <w:p w14:paraId="237ADEB0" w14:textId="724BB322" w:rsidR="001E70FE" w:rsidRPr="001E70FE" w:rsidRDefault="70A778FE" w:rsidP="1EB58241">
      <w:pPr>
        <w:pStyle w:val="Prrafodelista"/>
        <w:numPr>
          <w:ilvl w:val="0"/>
          <w:numId w:val="2"/>
        </w:numPr>
        <w:tabs>
          <w:tab w:val="left" w:pos="6946"/>
        </w:tabs>
        <w:spacing w:before="0" w:after="160"/>
        <w:jc w:val="both"/>
        <w:rPr>
          <w:rFonts w:cs="Arial"/>
        </w:rPr>
      </w:pPr>
      <w:r w:rsidRPr="1EB58241">
        <w:rPr>
          <w:rFonts w:cs="Arial"/>
        </w:rPr>
        <w:t>El fortalecimiento del talento humano</w:t>
      </w:r>
      <w:r w:rsidR="76F9F5B9" w:rsidRPr="1EB58241">
        <w:rPr>
          <w:rFonts w:cs="Arial"/>
        </w:rPr>
        <w:t>:</w:t>
      </w:r>
      <w:r w:rsidRPr="1EB58241">
        <w:rPr>
          <w:rFonts w:cs="Arial"/>
        </w:rPr>
        <w:t xml:space="preserve"> a través de espacios de capacitaciones,</w:t>
      </w:r>
      <w:r w:rsidR="6B3A3FF3" w:rsidRPr="1EB58241">
        <w:rPr>
          <w:rFonts w:cs="Arial"/>
        </w:rPr>
        <w:t xml:space="preserve"> que</w:t>
      </w:r>
      <w:r w:rsidRPr="1EB58241">
        <w:rPr>
          <w:rFonts w:cs="Arial"/>
        </w:rPr>
        <w:t xml:space="preserve"> nos permite contar con servidoras y servidores idóneos y cualificados para la atención a la ciudadanía</w:t>
      </w:r>
      <w:r w:rsidR="621814F9" w:rsidRPr="1EB58241">
        <w:rPr>
          <w:rFonts w:cs="Arial"/>
        </w:rPr>
        <w:t xml:space="preserve">, en temas como: </w:t>
      </w:r>
    </w:p>
    <w:p w14:paraId="11127BE1" w14:textId="21FB0AFA" w:rsidR="001E70FE" w:rsidRPr="001E70FE" w:rsidRDefault="70A778FE" w:rsidP="1EB58241">
      <w:pPr>
        <w:spacing w:before="0" w:after="160"/>
        <w:jc w:val="both"/>
        <w:rPr>
          <w:rFonts w:cs="Arial"/>
          <w:color w:val="000000" w:themeColor="text1"/>
        </w:rPr>
      </w:pPr>
      <w:r w:rsidRPr="1EB58241">
        <w:rPr>
          <w:rFonts w:cs="Arial"/>
        </w:rPr>
        <w:t>Esto incluye temas como:</w:t>
      </w:r>
    </w:p>
    <w:p w14:paraId="0016D198" w14:textId="77777777"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t>Lenguaje claro</w:t>
      </w:r>
    </w:p>
    <w:p w14:paraId="78114B16" w14:textId="77777777"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t>Atención a poblaciones con enfoque diferencial</w:t>
      </w:r>
    </w:p>
    <w:p w14:paraId="5CC4B8B2" w14:textId="6D825DCF"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t xml:space="preserve">Diversidad de género y sexualidad. </w:t>
      </w:r>
    </w:p>
    <w:p w14:paraId="6ECCD8ED" w14:textId="36E0EA1E"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t>Prevención temprana y superación de la estigmatización de las personas en proceso de reincorporación y reintegración.</w:t>
      </w:r>
    </w:p>
    <w:p w14:paraId="2A0690F3" w14:textId="6457854B"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lastRenderedPageBreak/>
        <w:t>Accesibilidad y de relacionamiento con personas con discapacidad</w:t>
      </w:r>
    </w:p>
    <w:p w14:paraId="6F4B2004" w14:textId="3D55B108" w:rsidR="001E70FE" w:rsidRPr="001E70FE" w:rsidRDefault="70A778FE" w:rsidP="1EB58241">
      <w:pPr>
        <w:pStyle w:val="Prrafodelista"/>
        <w:numPr>
          <w:ilvl w:val="0"/>
          <w:numId w:val="13"/>
        </w:numPr>
        <w:spacing w:before="0" w:after="0"/>
        <w:jc w:val="both"/>
        <w:rPr>
          <w:rFonts w:cs="Arial"/>
          <w:color w:val="000000" w:themeColor="text1"/>
        </w:rPr>
      </w:pPr>
      <w:r w:rsidRPr="1EB58241">
        <w:rPr>
          <w:rFonts w:cs="Arial"/>
        </w:rPr>
        <w:t xml:space="preserve">Conocimiento de la entidad y sus procesos. </w:t>
      </w:r>
    </w:p>
    <w:p w14:paraId="0393BA55" w14:textId="77777777" w:rsidR="001E70FE" w:rsidRPr="001E70FE" w:rsidRDefault="001E70FE" w:rsidP="1EB58241">
      <w:pPr>
        <w:pStyle w:val="Prrafodelista"/>
        <w:spacing w:before="0" w:after="0"/>
        <w:ind w:left="765"/>
        <w:jc w:val="both"/>
        <w:rPr>
          <w:rFonts w:cs="Arial"/>
          <w:color w:val="000000" w:themeColor="text1"/>
        </w:rPr>
      </w:pPr>
    </w:p>
    <w:p w14:paraId="1A4CE38D" w14:textId="7F7576E9" w:rsidR="001E70FE" w:rsidRPr="001E70FE" w:rsidRDefault="40B45FF8" w:rsidP="1EB58241">
      <w:pPr>
        <w:pStyle w:val="Prrafodelista"/>
        <w:numPr>
          <w:ilvl w:val="0"/>
          <w:numId w:val="2"/>
        </w:numPr>
        <w:spacing w:before="0" w:after="160"/>
        <w:jc w:val="both"/>
        <w:rPr>
          <w:rFonts w:cs="Arial"/>
        </w:rPr>
      </w:pPr>
      <w:r w:rsidRPr="1EB58241">
        <w:rPr>
          <w:rFonts w:cs="Arial"/>
        </w:rPr>
        <w:t xml:space="preserve">Espacios de relacionamiento dialogantes e incluyentes que garanticen </w:t>
      </w:r>
      <w:r w:rsidR="59175586" w:rsidRPr="1EB58241">
        <w:rPr>
          <w:rFonts w:cs="Arial"/>
        </w:rPr>
        <w:t xml:space="preserve">el acceso </w:t>
      </w:r>
      <w:r w:rsidR="70A778FE" w:rsidRPr="1EB58241">
        <w:rPr>
          <w:rFonts w:cs="Arial"/>
        </w:rPr>
        <w:t xml:space="preserve">efectivo, oportuno y de calidad de los ciudadanos a sus derechos y cumplimiento de sus deberes en salud, </w:t>
      </w:r>
      <w:r w:rsidR="4BB59127" w:rsidRPr="1EB58241">
        <w:rPr>
          <w:rFonts w:cs="Arial"/>
        </w:rPr>
        <w:t>así:</w:t>
      </w:r>
    </w:p>
    <w:p w14:paraId="3D174623" w14:textId="23F14FF0" w:rsidR="001E70FE" w:rsidRPr="001E70FE" w:rsidRDefault="001E70FE" w:rsidP="1EB58241">
      <w:pPr>
        <w:pStyle w:val="Prrafodelista"/>
        <w:spacing w:before="0" w:after="160"/>
        <w:jc w:val="both"/>
        <w:rPr>
          <w:rFonts w:cs="Arial"/>
        </w:rPr>
      </w:pPr>
    </w:p>
    <w:p w14:paraId="0E8DC48F" w14:textId="356E76AC"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Espacios de caracterización de ciudadanía y grupos de valor.</w:t>
      </w:r>
    </w:p>
    <w:p w14:paraId="20E311E2" w14:textId="3D09C8E2"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Jornadas de atención itinerantes o alternativas de relacionamiento.</w:t>
      </w:r>
    </w:p>
    <w:p w14:paraId="1C8CF75B" w14:textId="3B6C58F9"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 xml:space="preserve">Diálogos con la Supersalud. </w:t>
      </w:r>
    </w:p>
    <w:p w14:paraId="0A2965A3" w14:textId="469E1E40"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 xml:space="preserve">Conexión Supersalud. </w:t>
      </w:r>
    </w:p>
    <w:p w14:paraId="0BC8F0A6" w14:textId="77777777"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 xml:space="preserve">El líder tiene la palabra. </w:t>
      </w:r>
    </w:p>
    <w:p w14:paraId="4C413F98" w14:textId="2E6B0E47" w:rsidR="001E70FE" w:rsidRPr="001E70FE" w:rsidRDefault="70A778FE" w:rsidP="1EB58241">
      <w:pPr>
        <w:pStyle w:val="Prrafodelista"/>
        <w:numPr>
          <w:ilvl w:val="0"/>
          <w:numId w:val="14"/>
        </w:numPr>
        <w:spacing w:before="0" w:after="0"/>
        <w:jc w:val="both"/>
        <w:rPr>
          <w:rFonts w:eastAsia="Aptos" w:cs="Arial"/>
        </w:rPr>
      </w:pPr>
      <w:r w:rsidRPr="1EB58241">
        <w:rPr>
          <w:rFonts w:eastAsia="Aptos" w:cs="Arial"/>
        </w:rPr>
        <w:t>Gestión a las peticiones, quejas, reclamos, sugerencias y solicitudes de información que presenta la ciudadanía, en el marco de los lineamientos nacionales del Lenguaje Claro.</w:t>
      </w:r>
      <w:r w:rsidRPr="1EB58241">
        <w:rPr>
          <w:rFonts w:eastAsiaTheme="minorEastAsia" w:cs="Arial"/>
          <w:szCs w:val="24"/>
        </w:rPr>
        <w:t xml:space="preserve"> </w:t>
      </w:r>
    </w:p>
    <w:p w14:paraId="4A3F6A61" w14:textId="5390F416" w:rsidR="001E70FE" w:rsidRPr="001E70FE" w:rsidRDefault="001E70FE" w:rsidP="1EB58241">
      <w:pPr>
        <w:pStyle w:val="Ttulo1"/>
        <w:jc w:val="both"/>
        <w:rPr>
          <w:rFonts w:ascii="Arial" w:eastAsiaTheme="minorEastAsia" w:hAnsi="Arial" w:cs="Arial"/>
          <w:i/>
          <w:iCs/>
          <w:color w:val="auto"/>
          <w:sz w:val="24"/>
          <w:szCs w:val="24"/>
        </w:rPr>
      </w:pPr>
      <w:r w:rsidRPr="1EB58241">
        <w:rPr>
          <w:rFonts w:ascii="Arial" w:eastAsiaTheme="minorEastAsia" w:hAnsi="Arial" w:cs="Arial"/>
          <w:color w:val="auto"/>
          <w:sz w:val="24"/>
          <w:szCs w:val="24"/>
        </w:rPr>
        <w:t>Desde la Delegatura para la Protección al Usuario y la Dirección de Servicio al Ciudadano y Promoción de la Participación Ciudadana</w:t>
      </w:r>
      <w:r w:rsidR="00107936">
        <w:rPr>
          <w:rFonts w:ascii="Arial" w:eastAsiaTheme="minorEastAsia" w:hAnsi="Arial" w:cs="Arial"/>
          <w:color w:val="auto"/>
          <w:sz w:val="24"/>
          <w:szCs w:val="24"/>
        </w:rPr>
        <w:t>,</w:t>
      </w:r>
      <w:r w:rsidRPr="1EB58241">
        <w:rPr>
          <w:rFonts w:ascii="Arial" w:eastAsiaTheme="minorEastAsia" w:hAnsi="Arial" w:cs="Arial"/>
          <w:color w:val="auto"/>
          <w:sz w:val="24"/>
          <w:szCs w:val="24"/>
        </w:rPr>
        <w:t xml:space="preserve"> se lidera la Política de Servicio al Ciudadano, de </w:t>
      </w:r>
      <w:r w:rsidR="00971814" w:rsidRPr="1EB58241">
        <w:rPr>
          <w:rFonts w:ascii="Arial" w:eastAsiaTheme="minorEastAsia" w:hAnsi="Arial" w:cs="Arial"/>
          <w:color w:val="auto"/>
          <w:sz w:val="24"/>
          <w:szCs w:val="24"/>
        </w:rPr>
        <w:t xml:space="preserve">conformidad </w:t>
      </w:r>
      <w:r w:rsidRPr="1EB58241">
        <w:rPr>
          <w:rFonts w:ascii="Arial" w:eastAsiaTheme="minorEastAsia" w:hAnsi="Arial" w:cs="Arial"/>
          <w:color w:val="auto"/>
          <w:sz w:val="24"/>
          <w:szCs w:val="24"/>
        </w:rPr>
        <w:t xml:space="preserve">con lo dispuesto en el decreto 1080 de 2021, </w:t>
      </w:r>
      <w:r w:rsidR="00971814" w:rsidRPr="1EB58241">
        <w:rPr>
          <w:rFonts w:ascii="Arial" w:eastAsiaTheme="minorEastAsia" w:hAnsi="Arial" w:cs="Arial"/>
          <w:color w:val="auto"/>
          <w:sz w:val="24"/>
          <w:szCs w:val="24"/>
        </w:rPr>
        <w:t>que establece</w:t>
      </w:r>
      <w:r w:rsidRPr="1EB58241">
        <w:rPr>
          <w:rFonts w:ascii="Arial" w:eastAsiaTheme="minorEastAsia" w:hAnsi="Arial" w:cs="Arial"/>
          <w:color w:val="auto"/>
          <w:sz w:val="24"/>
          <w:szCs w:val="24"/>
        </w:rPr>
        <w:t xml:space="preserve">: </w:t>
      </w:r>
      <w:r w:rsidRPr="1EB58241">
        <w:rPr>
          <w:rFonts w:ascii="Arial" w:eastAsiaTheme="minorEastAsia" w:hAnsi="Arial" w:cs="Arial"/>
          <w:i/>
          <w:iCs/>
          <w:color w:val="auto"/>
          <w:sz w:val="24"/>
          <w:szCs w:val="24"/>
        </w:rPr>
        <w:t xml:space="preserve">“Liderar al interior de la Superintendencia Nacional de Salud la implementación de políticas que incidan en la relación Estado -Ciudadano definidas por el Departamento Administrativo de la Función Pública”. </w:t>
      </w:r>
    </w:p>
    <w:p w14:paraId="6B848A7C" w14:textId="0E52D05F" w:rsidR="008B2944" w:rsidRDefault="001E70FE" w:rsidP="34E7CE19">
      <w:pPr>
        <w:jc w:val="both"/>
        <w:rPr>
          <w:rFonts w:cs="Arial"/>
        </w:rPr>
      </w:pPr>
      <w:r w:rsidRPr="34E7CE19">
        <w:rPr>
          <w:rFonts w:cs="Arial"/>
        </w:rPr>
        <w:t xml:space="preserve">Para el cumplimiento de los objetivos y propósitos de esta política, </w:t>
      </w:r>
      <w:r w:rsidR="00B32818" w:rsidRPr="34E7CE19">
        <w:rPr>
          <w:rFonts w:cs="Arial"/>
        </w:rPr>
        <w:t xml:space="preserve">se </w:t>
      </w:r>
      <w:r w:rsidRPr="34E7CE19">
        <w:rPr>
          <w:rFonts w:cs="Arial"/>
        </w:rPr>
        <w:t>requiere de la sinergia y articulación con otras dependencias y áreas de la entidad, desde las acciones que inciden en el relacionamiento con la ciudadanía, así como los líderes de política:</w:t>
      </w:r>
      <w:r w:rsidRPr="34E7CE19">
        <w:t xml:space="preserve"> </w:t>
      </w:r>
      <w:r w:rsidRPr="34E7CE19">
        <w:rPr>
          <w:rFonts w:cs="Arial"/>
        </w:rPr>
        <w:t xml:space="preserve">Participación Ciudadana en la Gestión, </w:t>
      </w:r>
      <w:r w:rsidRPr="34E7CE19">
        <w:rPr>
          <w:rFonts w:cs="Arial"/>
        </w:rPr>
        <w:lastRenderedPageBreak/>
        <w:t>Racionalización de Trámites</w:t>
      </w:r>
      <w:r w:rsidR="00B6513D">
        <w:rPr>
          <w:rFonts w:cs="Arial"/>
        </w:rPr>
        <w:t>, Transparencia y Acceso a la Información Pública</w:t>
      </w:r>
      <w:r w:rsidRPr="34E7CE19">
        <w:rPr>
          <w:rFonts w:cs="Arial"/>
        </w:rPr>
        <w:t xml:space="preserve"> y Gobierno Digital.</w:t>
      </w:r>
    </w:p>
    <w:p w14:paraId="317D0CD8" w14:textId="65DC6B8C" w:rsidR="00B17FEF" w:rsidRDefault="00627D22" w:rsidP="3A00CC1B">
      <w:pPr>
        <w:jc w:val="both"/>
        <w:rPr>
          <w:rFonts w:cs="Arial"/>
        </w:rPr>
      </w:pPr>
      <w:r w:rsidRPr="3A00CC1B">
        <w:rPr>
          <w:rFonts w:cs="Arial"/>
        </w:rPr>
        <w:t>Por lo que</w:t>
      </w:r>
      <w:r w:rsidR="00652B6C" w:rsidRPr="3A00CC1B">
        <w:rPr>
          <w:rFonts w:cs="Arial"/>
        </w:rPr>
        <w:t xml:space="preserve"> </w:t>
      </w:r>
      <w:r w:rsidR="001827CB" w:rsidRPr="3A00CC1B">
        <w:rPr>
          <w:rFonts w:cs="Arial"/>
        </w:rPr>
        <w:t xml:space="preserve">a través del </w:t>
      </w:r>
      <w:r w:rsidR="00013F85" w:rsidRPr="3A00CC1B">
        <w:rPr>
          <w:rFonts w:cs="Arial"/>
        </w:rPr>
        <w:t xml:space="preserve">Plan Anual de Gestión </w:t>
      </w:r>
      <w:r w:rsidR="00FA10CA" w:rsidRPr="3A00CC1B">
        <w:rPr>
          <w:rFonts w:cs="Arial"/>
        </w:rPr>
        <w:t>-</w:t>
      </w:r>
      <w:r w:rsidR="00013F85" w:rsidRPr="3A00CC1B">
        <w:rPr>
          <w:rFonts w:cs="Arial"/>
        </w:rPr>
        <w:t>PAG</w:t>
      </w:r>
      <w:r w:rsidR="251EB8E5" w:rsidRPr="3A00CC1B">
        <w:rPr>
          <w:rFonts w:cs="Arial"/>
        </w:rPr>
        <w:t xml:space="preserve"> </w:t>
      </w:r>
      <w:r w:rsidR="00B6513D">
        <w:rPr>
          <w:rFonts w:cs="Arial"/>
        </w:rPr>
        <w:t xml:space="preserve">–, de los planes integrados a este mismo (Decreto 612 de 2018), del Programa de Transparencia y Ética Pública y demás instrumentos de planeación, </w:t>
      </w:r>
      <w:r w:rsidR="001827CB" w:rsidRPr="3A00CC1B">
        <w:rPr>
          <w:rFonts w:cs="Arial"/>
        </w:rPr>
        <w:t>se determina</w:t>
      </w:r>
      <w:r w:rsidR="004F448B">
        <w:rPr>
          <w:rFonts w:cs="Arial"/>
        </w:rPr>
        <w:t>n</w:t>
      </w:r>
      <w:r w:rsidR="001827CB" w:rsidRPr="3A00CC1B">
        <w:rPr>
          <w:rFonts w:cs="Arial"/>
        </w:rPr>
        <w:t xml:space="preserve"> </w:t>
      </w:r>
      <w:r w:rsidR="00B44313" w:rsidRPr="3A00CC1B">
        <w:rPr>
          <w:rFonts w:cs="Arial"/>
        </w:rPr>
        <w:t>e inclu</w:t>
      </w:r>
      <w:r w:rsidR="004F448B">
        <w:rPr>
          <w:rFonts w:cs="Arial"/>
        </w:rPr>
        <w:t>yen</w:t>
      </w:r>
      <w:r w:rsidR="00B44313" w:rsidRPr="3A00CC1B">
        <w:rPr>
          <w:rFonts w:cs="Arial"/>
        </w:rPr>
        <w:t xml:space="preserve"> de manera detallada </w:t>
      </w:r>
      <w:r w:rsidR="001827CB" w:rsidRPr="3A00CC1B">
        <w:rPr>
          <w:rFonts w:cs="Arial"/>
        </w:rPr>
        <w:t xml:space="preserve">las </w:t>
      </w:r>
      <w:r w:rsidR="46AD7A86" w:rsidRPr="3A00CC1B">
        <w:rPr>
          <w:rFonts w:cs="Arial"/>
        </w:rPr>
        <w:t>a</w:t>
      </w:r>
      <w:r w:rsidR="00013F85" w:rsidRPr="3A00CC1B">
        <w:rPr>
          <w:rFonts w:cs="Arial"/>
        </w:rPr>
        <w:t xml:space="preserve">ctividades </w:t>
      </w:r>
      <w:r w:rsidR="00FA10CA" w:rsidRPr="3A00CC1B">
        <w:rPr>
          <w:rFonts w:cs="Arial"/>
        </w:rPr>
        <w:t xml:space="preserve">que </w:t>
      </w:r>
      <w:r w:rsidR="00434210" w:rsidRPr="3A00CC1B">
        <w:rPr>
          <w:rFonts w:cs="Arial"/>
        </w:rPr>
        <w:t xml:space="preserve">contribuyan </w:t>
      </w:r>
      <w:r w:rsidR="00526A12" w:rsidRPr="3A00CC1B">
        <w:rPr>
          <w:rFonts w:cs="Arial"/>
        </w:rPr>
        <w:t xml:space="preserve">al cumplimiento de </w:t>
      </w:r>
      <w:r w:rsidR="003719F5" w:rsidRPr="3A00CC1B">
        <w:rPr>
          <w:rFonts w:cs="Arial"/>
        </w:rPr>
        <w:t xml:space="preserve">los propósitos estratégicos </w:t>
      </w:r>
      <w:r w:rsidR="00013F85" w:rsidRPr="3A00CC1B">
        <w:rPr>
          <w:rFonts w:cs="Arial"/>
        </w:rPr>
        <w:t>de</w:t>
      </w:r>
      <w:r w:rsidR="00526A12" w:rsidRPr="3A00CC1B">
        <w:rPr>
          <w:rFonts w:cs="Arial"/>
        </w:rPr>
        <w:t>sde</w:t>
      </w:r>
      <w:r w:rsidR="00013F85" w:rsidRPr="3A00CC1B">
        <w:rPr>
          <w:rFonts w:cs="Arial"/>
        </w:rPr>
        <w:t xml:space="preserve"> la Política de Servicio al Ciudadan</w:t>
      </w:r>
      <w:r w:rsidR="006E19E9" w:rsidRPr="3A00CC1B">
        <w:rPr>
          <w:rFonts w:cs="Arial"/>
        </w:rPr>
        <w:t>o</w:t>
      </w:r>
      <w:r w:rsidR="00D67CDC" w:rsidRPr="3A00CC1B">
        <w:rPr>
          <w:rFonts w:cs="Arial"/>
        </w:rPr>
        <w:t>.</w:t>
      </w:r>
      <w:bookmarkStart w:id="4" w:name="_Toc159854089"/>
      <w:bookmarkEnd w:id="0"/>
      <w:bookmarkEnd w:id="1"/>
      <w:bookmarkEnd w:id="4"/>
    </w:p>
    <w:p w14:paraId="376877FF" w14:textId="43591E2C" w:rsidR="007A2CBA" w:rsidRPr="007A2CBA" w:rsidRDefault="007A2CBA" w:rsidP="3A00CC1B">
      <w:pPr>
        <w:jc w:val="both"/>
        <w:rPr>
          <w:rFonts w:cs="Arial"/>
          <w:b/>
          <w:bCs/>
          <w:i/>
          <w:iCs/>
        </w:rPr>
      </w:pPr>
      <w:r w:rsidRPr="007A2CBA">
        <w:rPr>
          <w:rFonts w:cs="Arial"/>
          <w:b/>
          <w:bCs/>
          <w:i/>
          <w:iCs/>
        </w:rPr>
        <w:t xml:space="preserve">Alcance: </w:t>
      </w:r>
    </w:p>
    <w:p w14:paraId="25826776" w14:textId="76C93F81" w:rsidR="00B6513D" w:rsidRDefault="00B6513D" w:rsidP="00B6513D">
      <w:r>
        <w:t xml:space="preserve">La presente política aplica a todas </w:t>
      </w:r>
      <w:r w:rsidR="007A2CBA">
        <w:t xml:space="preserve">las instancias, acciones y espacios desarrollados por la </w:t>
      </w:r>
      <w:r>
        <w:t>Superintendencia Nacional de Salud</w:t>
      </w:r>
      <w:r w:rsidR="007A2CBA">
        <w:t xml:space="preserve"> donde se ejer</w:t>
      </w:r>
      <w:r w:rsidR="004F448B">
        <w:t xml:space="preserve">zan </w:t>
      </w:r>
      <w:r w:rsidR="007A2CBA">
        <w:t xml:space="preserve">funciones que impliquen el relacionamiento con la ciudadanía y por tal razón, aplica y es de estricto cumplimiento para todos los funcionarios y contratistas de la entidad en todas sus sedes. </w:t>
      </w:r>
    </w:p>
    <w:p w14:paraId="2A542010" w14:textId="2F93940C" w:rsidR="00287AC3" w:rsidRPr="00287AC3" w:rsidRDefault="00287AC3" w:rsidP="00B6513D">
      <w:pPr>
        <w:rPr>
          <w:b/>
          <w:bCs/>
          <w:i/>
          <w:iCs/>
        </w:rPr>
      </w:pPr>
      <w:r w:rsidRPr="00287AC3">
        <w:rPr>
          <w:b/>
          <w:bCs/>
          <w:i/>
          <w:iCs/>
        </w:rPr>
        <w:t xml:space="preserve">Responsables: </w:t>
      </w:r>
    </w:p>
    <w:p w14:paraId="39A299C2" w14:textId="63C75099" w:rsidR="00287AC3" w:rsidRDefault="007A2CBA" w:rsidP="00B6513D">
      <w:r>
        <w:t xml:space="preserve">La </w:t>
      </w:r>
      <w:r w:rsidR="00A747D4">
        <w:t>Política de Servicio al Ciudadano</w:t>
      </w:r>
      <w:r>
        <w:t xml:space="preserve"> es </w:t>
      </w:r>
      <w:r w:rsidR="00287AC3">
        <w:t xml:space="preserve">liderada por la Delegatura para la Protección al Usuario y como </w:t>
      </w:r>
      <w:r>
        <w:t xml:space="preserve">parte del </w:t>
      </w:r>
      <w:r w:rsidR="00B6513D">
        <w:t xml:space="preserve">Sistema Integrado de Gestión (SIG) </w:t>
      </w:r>
      <w:r>
        <w:t xml:space="preserve">de la Superintendencia Nacional de Salud </w:t>
      </w:r>
      <w:r w:rsidR="00B6513D">
        <w:t xml:space="preserve">cuenta </w:t>
      </w:r>
      <w:r w:rsidR="00287AC3">
        <w:t xml:space="preserve">para su implementación con la asesoría y acompañamiento técnico de la Oficina Asesora de Planeación, </w:t>
      </w:r>
      <w:r w:rsidR="00B6513D">
        <w:t xml:space="preserve">el respaldo de la alta dirección y el compromiso de todos sus integrantes: líderes de procesos, líderes de políticas de gestión y desempeño, líderes de componentes, gestores, enlaces de la Oficina Asesora de Planeación, equipos técnicos y demás servidores. Cada uno </w:t>
      </w:r>
      <w:r w:rsidR="00B6513D">
        <w:lastRenderedPageBreak/>
        <w:t xml:space="preserve">contribuye desde sus </w:t>
      </w:r>
      <w:r w:rsidR="00287AC3">
        <w:t xml:space="preserve">funciones, </w:t>
      </w:r>
      <w:r w:rsidR="00B6513D">
        <w:t>roles y responsabilidades específicas</w:t>
      </w:r>
      <w:r w:rsidR="00287AC3">
        <w:t>, relacionadas con el servicio al ciudadano</w:t>
      </w:r>
      <w:r w:rsidR="00B6513D">
        <w:t xml:space="preserve">. </w:t>
      </w:r>
    </w:p>
    <w:p w14:paraId="16C7E52C" w14:textId="16DB235A" w:rsidR="00B6513D" w:rsidRDefault="00B6513D" w:rsidP="00B6513D">
      <w:r>
        <w:t xml:space="preserve">La implementación y mejora </w:t>
      </w:r>
      <w:r w:rsidR="00287AC3">
        <w:t>de la Política de Servicio al Ciudadano</w:t>
      </w:r>
      <w:r>
        <w:t xml:space="preserve"> se </w:t>
      </w:r>
      <w:r w:rsidR="00287AC3">
        <w:t>monitorea</w:t>
      </w:r>
      <w:r>
        <w:t xml:space="preserve"> </w:t>
      </w:r>
      <w:r w:rsidR="00287AC3">
        <w:t xml:space="preserve">y evalúa </w:t>
      </w:r>
      <w:r>
        <w:t>mediante el esquema de líneas de defensa, en concordancia con la Política de Control Interno.</w:t>
      </w:r>
    </w:p>
    <w:p w14:paraId="75213F91" w14:textId="77777777" w:rsidR="00287AC3" w:rsidRDefault="00B6513D" w:rsidP="00B6513D">
      <w:r>
        <w:t xml:space="preserve">Para consolidar una cultura de mejoramiento continuo y fortalecer la adopción de </w:t>
      </w:r>
      <w:r w:rsidR="00287AC3">
        <w:t>los lineamientos de la política</w:t>
      </w:r>
      <w:r>
        <w:t xml:space="preserve">, la </w:t>
      </w:r>
      <w:r w:rsidR="00287AC3">
        <w:t>Superintendencia Nacional de Salud</w:t>
      </w:r>
      <w:r>
        <w:t xml:space="preserve"> asigna los recursos necesarios</w:t>
      </w:r>
      <w:r w:rsidR="00287AC3">
        <w:t xml:space="preserve"> a través de la programación de los recursos de funcionamiento e inversión, acorde con el ejercicio de planeación estratégica de la entidad. Dichos </w:t>
      </w:r>
      <w:r>
        <w:t xml:space="preserve">ejercicios </w:t>
      </w:r>
      <w:r w:rsidR="00287AC3">
        <w:t>contemplan</w:t>
      </w:r>
      <w:r>
        <w:t xml:space="preserve"> las necesidades identificadas para </w:t>
      </w:r>
      <w:r w:rsidR="00287AC3">
        <w:t xml:space="preserve">asegurar la implementación de los objetivos y acciones establecidos en los planes y cronogramas de trabajo definidos por la Delegatura de Protección al Usuario, con la asesoría y acompañamiento de la Oficina Asesora de Planeación. </w:t>
      </w:r>
    </w:p>
    <w:p w14:paraId="0DAF9185" w14:textId="64451F8F" w:rsidR="00B6513D" w:rsidRPr="00287AC3" w:rsidRDefault="00287AC3" w:rsidP="00B6513D">
      <w:pPr>
        <w:rPr>
          <w:b/>
          <w:bCs/>
          <w:i/>
          <w:iCs/>
        </w:rPr>
      </w:pPr>
      <w:r w:rsidRPr="00287AC3">
        <w:rPr>
          <w:b/>
          <w:bCs/>
          <w:i/>
          <w:iCs/>
        </w:rPr>
        <w:t xml:space="preserve">Fases de implementación de la Política:  </w:t>
      </w:r>
    </w:p>
    <w:p w14:paraId="2A6F4F01" w14:textId="77777777" w:rsidR="00102AD6" w:rsidRDefault="00102AD6" w:rsidP="005E4178"/>
    <w:p w14:paraId="0B36A38C" w14:textId="3B50B0D0" w:rsidR="00102AD6" w:rsidRDefault="00205F10" w:rsidP="005E4178">
      <w:r>
        <w:rPr>
          <w:noProof/>
          <w14:ligatures w14:val="standardContextual"/>
        </w:rPr>
        <w:lastRenderedPageBreak/>
        <w:drawing>
          <wp:inline distT="0" distB="0" distL="0" distR="0" wp14:anchorId="219BF302" wp14:editId="3ECB5784">
            <wp:extent cx="5252085" cy="3321050"/>
            <wp:effectExtent l="0" t="0" r="5715" b="0"/>
            <wp:docPr id="60706460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64600" name="Imagen 1" descr="Imagen que contiene Texto&#10;&#10;El contenido generado por IA puede ser incorrecto."/>
                    <pic:cNvPicPr/>
                  </pic:nvPicPr>
                  <pic:blipFill>
                    <a:blip r:embed="rId11"/>
                    <a:stretch>
                      <a:fillRect/>
                    </a:stretch>
                  </pic:blipFill>
                  <pic:spPr>
                    <a:xfrm>
                      <a:off x="0" y="0"/>
                      <a:ext cx="5252085" cy="3321050"/>
                    </a:xfrm>
                    <a:prstGeom prst="rect">
                      <a:avLst/>
                    </a:prstGeom>
                  </pic:spPr>
                </pic:pic>
              </a:graphicData>
            </a:graphic>
          </wp:inline>
        </w:drawing>
      </w:r>
    </w:p>
    <w:p w14:paraId="3664318E" w14:textId="77777777" w:rsidR="00102AD6" w:rsidRDefault="00102AD6" w:rsidP="005E4178">
      <w:r w:rsidRPr="00526658">
        <w:t>Fuente: Elaboración propia</w:t>
      </w:r>
    </w:p>
    <w:p w14:paraId="3CCDE13D" w14:textId="468BD0A1" w:rsidR="00102AD6" w:rsidRDefault="00102AD6" w:rsidP="00102AD6">
      <w:pPr>
        <w:rPr>
          <w:rFonts w:cs="Arial"/>
          <w:szCs w:val="24"/>
        </w:rPr>
      </w:pPr>
      <w:r w:rsidRPr="006F5315">
        <w:rPr>
          <w:rFonts w:cs="Arial"/>
          <w:szCs w:val="24"/>
        </w:rPr>
        <w:t xml:space="preserve">La implementación de la Política </w:t>
      </w:r>
      <w:r w:rsidR="00205F10">
        <w:rPr>
          <w:rFonts w:cs="Arial"/>
          <w:szCs w:val="24"/>
        </w:rPr>
        <w:t>de Servicio al Ciudadano</w:t>
      </w:r>
      <w:r w:rsidRPr="006F5315">
        <w:rPr>
          <w:rFonts w:cs="Arial"/>
          <w:szCs w:val="24"/>
        </w:rPr>
        <w:t xml:space="preserve"> sigue el ciclo PHVA (Planear, Hacer, Verificar, Actuar), comenzando por una fase de planificación donde se </w:t>
      </w:r>
      <w:r w:rsidR="00205F10">
        <w:rPr>
          <w:rFonts w:cs="Arial"/>
          <w:szCs w:val="24"/>
        </w:rPr>
        <w:t xml:space="preserve">diagnostica el estado actual de la política y con base en ese diagnóstico se </w:t>
      </w:r>
      <w:r w:rsidRPr="006F5315">
        <w:rPr>
          <w:rFonts w:cs="Arial"/>
          <w:szCs w:val="24"/>
        </w:rPr>
        <w:t xml:space="preserve">diseñan </w:t>
      </w:r>
      <w:r w:rsidR="00205F10">
        <w:rPr>
          <w:rFonts w:cs="Arial"/>
          <w:szCs w:val="24"/>
        </w:rPr>
        <w:t xml:space="preserve">los </w:t>
      </w:r>
      <w:r w:rsidRPr="006F5315">
        <w:rPr>
          <w:rFonts w:cs="Arial"/>
          <w:szCs w:val="24"/>
        </w:rPr>
        <w:t>planes, programas, proyectos</w:t>
      </w:r>
      <w:r w:rsidR="00205F10">
        <w:rPr>
          <w:rFonts w:cs="Arial"/>
          <w:szCs w:val="24"/>
        </w:rPr>
        <w:t>, cronogramas de trabajo</w:t>
      </w:r>
      <w:r w:rsidRPr="006F5315">
        <w:rPr>
          <w:rFonts w:cs="Arial"/>
          <w:szCs w:val="24"/>
        </w:rPr>
        <w:t xml:space="preserve"> y procesos </w:t>
      </w:r>
      <w:r w:rsidR="00205F10">
        <w:rPr>
          <w:rFonts w:cs="Arial"/>
          <w:szCs w:val="24"/>
        </w:rPr>
        <w:t>requeridos para cumplir los lineamientos normativos asociados con la política, así como también, cumplir las metas y objetivos institucionales que la entidad define para el fortalecimiento del servicio al ciudadano</w:t>
      </w:r>
      <w:r w:rsidRPr="006F5315">
        <w:rPr>
          <w:rFonts w:cs="Arial"/>
          <w:szCs w:val="24"/>
        </w:rPr>
        <w:t xml:space="preserve">; prosigue con la ejecución de </w:t>
      </w:r>
      <w:r w:rsidR="00205F10">
        <w:rPr>
          <w:rFonts w:cs="Arial"/>
          <w:szCs w:val="24"/>
        </w:rPr>
        <w:t>las acciones establecidas en los planes, programas, proyectos, procesos y cronogramas asociados a la política</w:t>
      </w:r>
      <w:r w:rsidRPr="006F5315">
        <w:rPr>
          <w:rFonts w:cs="Arial"/>
          <w:szCs w:val="24"/>
        </w:rPr>
        <w:t xml:space="preserve">; continúa con una etapa de </w:t>
      </w:r>
      <w:r w:rsidR="00A747D4">
        <w:rPr>
          <w:rFonts w:cs="Arial"/>
          <w:szCs w:val="24"/>
        </w:rPr>
        <w:t>seguimiento a la ejecución de los planes, programas, proyectos, procesos y cronogramas asociados a la política</w:t>
      </w:r>
      <w:r w:rsidR="00A747D4" w:rsidRPr="006F5315">
        <w:rPr>
          <w:rFonts w:cs="Arial"/>
          <w:szCs w:val="24"/>
        </w:rPr>
        <w:t xml:space="preserve"> </w:t>
      </w:r>
      <w:r w:rsidR="00A747D4">
        <w:rPr>
          <w:rFonts w:cs="Arial"/>
          <w:szCs w:val="24"/>
        </w:rPr>
        <w:t xml:space="preserve">y la </w:t>
      </w:r>
      <w:r w:rsidRPr="006F5315">
        <w:rPr>
          <w:rFonts w:cs="Arial"/>
          <w:szCs w:val="24"/>
        </w:rPr>
        <w:t xml:space="preserve">evaluación </w:t>
      </w:r>
      <w:r w:rsidR="00A747D4">
        <w:rPr>
          <w:rFonts w:cs="Arial"/>
          <w:szCs w:val="24"/>
        </w:rPr>
        <w:t>de la misma, a través de s</w:t>
      </w:r>
      <w:r w:rsidR="00205F10">
        <w:rPr>
          <w:rFonts w:cs="Arial"/>
          <w:szCs w:val="24"/>
        </w:rPr>
        <w:t xml:space="preserve">eguimientos, auditorías, </w:t>
      </w:r>
      <w:r w:rsidR="00A747D4">
        <w:rPr>
          <w:rFonts w:cs="Arial"/>
          <w:szCs w:val="24"/>
        </w:rPr>
        <w:t xml:space="preserve">medición de </w:t>
      </w:r>
      <w:r w:rsidRPr="006F5315">
        <w:rPr>
          <w:rFonts w:cs="Arial"/>
          <w:szCs w:val="24"/>
        </w:rPr>
        <w:lastRenderedPageBreak/>
        <w:t xml:space="preserve">indicadores y </w:t>
      </w:r>
      <w:r w:rsidR="00A747D4">
        <w:rPr>
          <w:rFonts w:cs="Arial"/>
          <w:szCs w:val="24"/>
        </w:rPr>
        <w:t>monitoreo de riesgos</w:t>
      </w:r>
      <w:r w:rsidRPr="006F5315">
        <w:rPr>
          <w:rFonts w:cs="Arial"/>
          <w:szCs w:val="24"/>
        </w:rPr>
        <w:t xml:space="preserve">; y culmina con la implementación de </w:t>
      </w:r>
      <w:r w:rsidR="00205F10">
        <w:rPr>
          <w:rFonts w:cs="Arial"/>
          <w:szCs w:val="24"/>
        </w:rPr>
        <w:t xml:space="preserve">correcciones y acciones </w:t>
      </w:r>
      <w:r w:rsidRPr="006F5315">
        <w:rPr>
          <w:rFonts w:cs="Arial"/>
          <w:szCs w:val="24"/>
        </w:rPr>
        <w:t xml:space="preserve">de mejora orientadas a fortalecer </w:t>
      </w:r>
      <w:r w:rsidR="00205F10">
        <w:rPr>
          <w:rFonts w:cs="Arial"/>
          <w:szCs w:val="24"/>
        </w:rPr>
        <w:t>el servicio al ciudadano.</w:t>
      </w:r>
    </w:p>
    <w:tbl>
      <w:tblPr>
        <w:tblStyle w:val="Tablaconcuadrcula1"/>
        <w:tblW w:w="5000" w:type="pct"/>
        <w:tblLook w:val="04A0" w:firstRow="1" w:lastRow="0" w:firstColumn="1" w:lastColumn="0" w:noHBand="0" w:noVBand="1"/>
      </w:tblPr>
      <w:tblGrid>
        <w:gridCol w:w="1321"/>
        <w:gridCol w:w="1327"/>
        <w:gridCol w:w="1160"/>
        <w:gridCol w:w="1616"/>
        <w:gridCol w:w="1051"/>
        <w:gridCol w:w="1786"/>
      </w:tblGrid>
      <w:tr w:rsidR="004E18DB" w:rsidRPr="004E18DB" w14:paraId="426DAA7C" w14:textId="77777777" w:rsidTr="00793D47">
        <w:trPr>
          <w:trHeight w:val="43"/>
        </w:trPr>
        <w:tc>
          <w:tcPr>
            <w:tcW w:w="5000" w:type="pct"/>
            <w:gridSpan w:val="6"/>
            <w:shd w:val="clear" w:color="auto" w:fill="33CCCC"/>
            <w:vAlign w:val="center"/>
          </w:tcPr>
          <w:p w14:paraId="022AE3B1" w14:textId="77777777" w:rsidR="004E18DB" w:rsidRPr="004E18DB" w:rsidRDefault="004E18DB" w:rsidP="004E18DB">
            <w:pPr>
              <w:spacing w:before="0" w:after="160" w:line="278" w:lineRule="auto"/>
              <w:jc w:val="center"/>
              <w:rPr>
                <w:rFonts w:eastAsia="Aptos" w:cs="Arial"/>
                <w:b/>
                <w:bCs/>
                <w:kern w:val="2"/>
                <w:sz w:val="18"/>
                <w:szCs w:val="18"/>
                <w14:ligatures w14:val="standardContextual"/>
              </w:rPr>
            </w:pPr>
            <w:r w:rsidRPr="004E18DB">
              <w:rPr>
                <w:rFonts w:eastAsia="Aptos" w:cs="Arial"/>
                <w:b/>
                <w:bCs/>
                <w:kern w:val="2"/>
                <w:sz w:val="18"/>
                <w:szCs w:val="18"/>
                <w14:ligatures w14:val="standardContextual"/>
              </w:rPr>
              <w:t>Control de cambios</w:t>
            </w:r>
          </w:p>
        </w:tc>
      </w:tr>
      <w:tr w:rsidR="004E18DB" w:rsidRPr="004E18DB" w14:paraId="340C039A" w14:textId="77777777" w:rsidTr="00793D47">
        <w:trPr>
          <w:trHeight w:val="65"/>
        </w:trPr>
        <w:tc>
          <w:tcPr>
            <w:tcW w:w="800" w:type="pct"/>
            <w:shd w:val="clear" w:color="auto" w:fill="33CCCC"/>
            <w:vAlign w:val="center"/>
          </w:tcPr>
          <w:p w14:paraId="04321ED6"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Versión</w:t>
            </w:r>
          </w:p>
        </w:tc>
        <w:tc>
          <w:tcPr>
            <w:tcW w:w="803" w:type="pct"/>
            <w:shd w:val="clear" w:color="auto" w:fill="33CCCC"/>
            <w:vAlign w:val="center"/>
          </w:tcPr>
          <w:p w14:paraId="11D59C4F"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Fecha</w:t>
            </w:r>
          </w:p>
        </w:tc>
        <w:tc>
          <w:tcPr>
            <w:tcW w:w="3397" w:type="pct"/>
            <w:gridSpan w:val="4"/>
            <w:shd w:val="clear" w:color="auto" w:fill="33CCCC"/>
            <w:vAlign w:val="center"/>
          </w:tcPr>
          <w:p w14:paraId="4ADA4EC0"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Descripción de los cambios</w:t>
            </w:r>
          </w:p>
        </w:tc>
      </w:tr>
      <w:tr w:rsidR="004E18DB" w:rsidRPr="004E18DB" w14:paraId="7EC0867D" w14:textId="77777777" w:rsidTr="00793D47">
        <w:trPr>
          <w:trHeight w:val="313"/>
        </w:trPr>
        <w:tc>
          <w:tcPr>
            <w:tcW w:w="800" w:type="pct"/>
            <w:vAlign w:val="center"/>
          </w:tcPr>
          <w:p w14:paraId="7B1E154C"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kern w:val="2"/>
                <w:sz w:val="18"/>
                <w:szCs w:val="18"/>
                <w14:ligatures w14:val="standardContextual"/>
              </w:rPr>
              <w:t xml:space="preserve">1 </w:t>
            </w:r>
          </w:p>
        </w:tc>
        <w:tc>
          <w:tcPr>
            <w:tcW w:w="803" w:type="pct"/>
            <w:vAlign w:val="center"/>
          </w:tcPr>
          <w:p w14:paraId="4C2410F3" w14:textId="77777777" w:rsidR="004E18DB" w:rsidRPr="004E18DB" w:rsidRDefault="004E18DB" w:rsidP="004E18DB">
            <w:pPr>
              <w:spacing w:before="0" w:after="160" w:line="278" w:lineRule="auto"/>
              <w:rPr>
                <w:rFonts w:ascii="Aptos" w:eastAsia="Aptos" w:hAnsi="Aptos" w:cs="Arial"/>
                <w:kern w:val="2"/>
                <w14:ligatures w14:val="standardContextual"/>
              </w:rPr>
            </w:pPr>
            <w:r w:rsidRPr="004E18DB">
              <w:rPr>
                <w:rFonts w:eastAsia="Aptos" w:cs="Arial"/>
                <w:kern w:val="2"/>
                <w:sz w:val="18"/>
                <w:szCs w:val="18"/>
                <w14:ligatures w14:val="standardContextual"/>
              </w:rPr>
              <w:t>31/03/2026</w:t>
            </w:r>
          </w:p>
        </w:tc>
        <w:tc>
          <w:tcPr>
            <w:tcW w:w="3397" w:type="pct"/>
            <w:gridSpan w:val="4"/>
            <w:vAlign w:val="center"/>
          </w:tcPr>
          <w:p w14:paraId="1EAB1C5C" w14:textId="77777777" w:rsidR="004E18DB" w:rsidRPr="004E18DB" w:rsidRDefault="004E18DB" w:rsidP="004E18DB">
            <w:pPr>
              <w:spacing w:before="0" w:after="160" w:line="278" w:lineRule="auto"/>
              <w:rPr>
                <w:rFonts w:eastAsia="Arial" w:cs="Arial"/>
                <w:kern w:val="2"/>
                <w:sz w:val="18"/>
                <w:szCs w:val="18"/>
                <w14:ligatures w14:val="standardContextual"/>
              </w:rPr>
            </w:pPr>
            <w:r w:rsidRPr="004E18DB">
              <w:rPr>
                <w:rFonts w:eastAsia="Aptos" w:cs="Arial"/>
                <w:kern w:val="2"/>
                <w:sz w:val="18"/>
                <w:szCs w:val="18"/>
                <w14:ligatures w14:val="standardContextu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4E18DB">
              <w:rPr>
                <w:rFonts w:eastAsia="Arial" w:cs="Arial"/>
                <w:kern w:val="2"/>
                <w:sz w:val="18"/>
                <w:szCs w:val="18"/>
                <w14:ligatures w14:val="standardContextual"/>
              </w:rPr>
              <w:t>e suprime la codificación de los formatos y otros documentos enunciados conservando únicamente el nombre.</w:t>
            </w:r>
          </w:p>
          <w:p w14:paraId="256BC659" w14:textId="77777777" w:rsidR="004E18DB" w:rsidRPr="004E18DB" w:rsidRDefault="004E18DB" w:rsidP="004E18DB">
            <w:pPr>
              <w:spacing w:before="0" w:after="160" w:line="278" w:lineRule="auto"/>
              <w:rPr>
                <w:rFonts w:eastAsia="Aptos" w:cs="Arial"/>
                <w:kern w:val="2"/>
                <w:sz w:val="18"/>
                <w:szCs w:val="18"/>
                <w14:ligatures w14:val="standardContextual"/>
              </w:rPr>
            </w:pPr>
          </w:p>
          <w:p w14:paraId="32A4FE67"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kern w:val="2"/>
                <w:sz w:val="18"/>
                <w:szCs w:val="18"/>
                <w14:ligatures w14:val="standardContextual"/>
              </w:rPr>
              <w:t>La consulta de la armonización documental en el marco del nuevo mapa de procesos y l</w:t>
            </w:r>
            <w:r w:rsidRPr="004E18DB">
              <w:rPr>
                <w:rFonts w:eastAsia="Arial" w:cs="Arial"/>
                <w:kern w:val="2"/>
                <w:sz w:val="18"/>
                <w:szCs w:val="18"/>
                <w14:ligatures w14:val="standardContextual"/>
              </w:rPr>
              <w:t>as versiones obsoletas de los documentos se encuentran bajo custodia de la Subdirección de tecnologías de la información de acuerdo con lo solicitado por la Oficina asesora de planeación mediante radicado 20251200200131673.</w:t>
            </w:r>
          </w:p>
        </w:tc>
      </w:tr>
      <w:tr w:rsidR="004E18DB" w:rsidRPr="004E18DB" w14:paraId="3530CD4D" w14:textId="77777777" w:rsidTr="00793D47">
        <w:trPr>
          <w:trHeight w:val="43"/>
        </w:trPr>
        <w:tc>
          <w:tcPr>
            <w:tcW w:w="1603" w:type="pct"/>
            <w:gridSpan w:val="2"/>
            <w:shd w:val="clear" w:color="auto" w:fill="33CCCC"/>
            <w:vAlign w:val="center"/>
          </w:tcPr>
          <w:p w14:paraId="3AF457C8"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Elaboró</w:t>
            </w:r>
          </w:p>
        </w:tc>
        <w:tc>
          <w:tcPr>
            <w:tcW w:w="1680" w:type="pct"/>
            <w:gridSpan w:val="2"/>
            <w:shd w:val="clear" w:color="auto" w:fill="33CCCC"/>
            <w:vAlign w:val="center"/>
          </w:tcPr>
          <w:p w14:paraId="4AD85C90"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Revisó</w:t>
            </w:r>
          </w:p>
        </w:tc>
        <w:tc>
          <w:tcPr>
            <w:tcW w:w="1717" w:type="pct"/>
            <w:gridSpan w:val="2"/>
            <w:shd w:val="clear" w:color="auto" w:fill="33CCCC"/>
            <w:vAlign w:val="center"/>
          </w:tcPr>
          <w:p w14:paraId="6963D009"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Aprobó</w:t>
            </w:r>
          </w:p>
        </w:tc>
      </w:tr>
      <w:tr w:rsidR="004E18DB" w:rsidRPr="004E18DB" w14:paraId="2D79B03F" w14:textId="77777777" w:rsidTr="00793D47">
        <w:trPr>
          <w:trHeight w:val="332"/>
        </w:trPr>
        <w:tc>
          <w:tcPr>
            <w:tcW w:w="800" w:type="pct"/>
            <w:vAlign w:val="center"/>
          </w:tcPr>
          <w:p w14:paraId="2C40C942"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Nombre</w:t>
            </w:r>
          </w:p>
        </w:tc>
        <w:tc>
          <w:tcPr>
            <w:tcW w:w="803" w:type="pct"/>
            <w:vMerge w:val="restart"/>
            <w:vAlign w:val="center"/>
          </w:tcPr>
          <w:p w14:paraId="4C75AAFD" w14:textId="77777777" w:rsidR="004E18DB" w:rsidRPr="004E18DB" w:rsidRDefault="004E18DB" w:rsidP="004E18DB">
            <w:pPr>
              <w:spacing w:before="0" w:after="160" w:line="278" w:lineRule="auto"/>
              <w:rPr>
                <w:rFonts w:eastAsia="Arial" w:cs="Arial"/>
                <w:kern w:val="2"/>
                <w:sz w:val="18"/>
                <w:szCs w:val="18"/>
                <w14:ligatures w14:val="standardContextual"/>
              </w:rPr>
            </w:pPr>
            <w:r w:rsidRPr="004E18DB">
              <w:rPr>
                <w:rFonts w:eastAsia="Arial" w:cs="Arial"/>
                <w:kern w:val="2"/>
                <w:sz w:val="18"/>
                <w:szCs w:val="18"/>
                <w14:ligatures w14:val="standardContextual"/>
              </w:rPr>
              <w:t>Información disponible en el SharePoint de la OAP a través del formato DEFT15</w:t>
            </w:r>
          </w:p>
        </w:tc>
        <w:tc>
          <w:tcPr>
            <w:tcW w:w="702" w:type="pct"/>
            <w:vAlign w:val="center"/>
          </w:tcPr>
          <w:p w14:paraId="592D86B9"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b/>
                <w:bCs/>
                <w:kern w:val="2"/>
                <w:sz w:val="18"/>
                <w:szCs w:val="18"/>
                <w14:ligatures w14:val="standardContextual"/>
              </w:rPr>
              <w:t>Nombre</w:t>
            </w:r>
          </w:p>
        </w:tc>
        <w:tc>
          <w:tcPr>
            <w:tcW w:w="978" w:type="pct"/>
            <w:vMerge w:val="restart"/>
            <w:vAlign w:val="center"/>
          </w:tcPr>
          <w:p w14:paraId="429646BE" w14:textId="77777777" w:rsidR="004E18DB" w:rsidRPr="004E18DB" w:rsidRDefault="004E18DB" w:rsidP="004E18DB">
            <w:pPr>
              <w:spacing w:before="0" w:after="160" w:line="278" w:lineRule="auto"/>
              <w:rPr>
                <w:rFonts w:eastAsia="Arial" w:cs="Arial"/>
                <w:kern w:val="2"/>
                <w:sz w:val="18"/>
                <w:szCs w:val="18"/>
                <w14:ligatures w14:val="standardContextual"/>
              </w:rPr>
            </w:pPr>
            <w:r w:rsidRPr="004E18DB">
              <w:rPr>
                <w:rFonts w:eastAsia="Arial" w:cs="Arial"/>
                <w:kern w:val="2"/>
                <w:sz w:val="18"/>
                <w:szCs w:val="18"/>
                <w14:ligatures w14:val="standardContextual"/>
              </w:rPr>
              <w:t>Información disponible en el SharePoint de la OAP a través del formato DEFT15</w:t>
            </w:r>
          </w:p>
        </w:tc>
        <w:tc>
          <w:tcPr>
            <w:tcW w:w="636" w:type="pct"/>
            <w:vAlign w:val="center"/>
          </w:tcPr>
          <w:p w14:paraId="1A24B135"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b/>
                <w:bCs/>
                <w:kern w:val="2"/>
                <w:sz w:val="18"/>
                <w:szCs w:val="18"/>
                <w14:ligatures w14:val="standardContextual"/>
              </w:rPr>
              <w:t>Nombre</w:t>
            </w:r>
          </w:p>
        </w:tc>
        <w:tc>
          <w:tcPr>
            <w:tcW w:w="1081" w:type="pct"/>
            <w:vMerge w:val="restart"/>
            <w:vAlign w:val="center"/>
          </w:tcPr>
          <w:p w14:paraId="0CAEEAFD" w14:textId="77777777" w:rsidR="004E18DB" w:rsidRPr="004E18DB" w:rsidRDefault="004E18DB" w:rsidP="004E18DB">
            <w:pPr>
              <w:spacing w:before="0" w:after="160" w:line="278" w:lineRule="auto"/>
              <w:rPr>
                <w:rFonts w:eastAsia="Arial" w:cs="Arial"/>
                <w:kern w:val="2"/>
                <w:sz w:val="18"/>
                <w:szCs w:val="18"/>
                <w14:ligatures w14:val="standardContextual"/>
              </w:rPr>
            </w:pPr>
            <w:r w:rsidRPr="004E18DB">
              <w:rPr>
                <w:rFonts w:eastAsia="Arial" w:cs="Arial"/>
                <w:kern w:val="2"/>
                <w:sz w:val="18"/>
                <w:szCs w:val="18"/>
                <w14:ligatures w14:val="standardContextual"/>
              </w:rPr>
              <w:t>Información disponible en el SharePoint de la OAP a través del formato DEFT15</w:t>
            </w:r>
          </w:p>
        </w:tc>
      </w:tr>
      <w:tr w:rsidR="004E18DB" w:rsidRPr="004E18DB" w14:paraId="2260C93A" w14:textId="77777777" w:rsidTr="00793D47">
        <w:trPr>
          <w:trHeight w:val="355"/>
        </w:trPr>
        <w:tc>
          <w:tcPr>
            <w:tcW w:w="800" w:type="pct"/>
            <w:vAlign w:val="center"/>
          </w:tcPr>
          <w:p w14:paraId="306B2D8A"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Cargo</w:t>
            </w:r>
          </w:p>
        </w:tc>
        <w:tc>
          <w:tcPr>
            <w:tcW w:w="803" w:type="pct"/>
            <w:vMerge/>
            <w:vAlign w:val="center"/>
          </w:tcPr>
          <w:p w14:paraId="1ABEDA02" w14:textId="77777777" w:rsidR="004E18DB" w:rsidRPr="004E18DB" w:rsidRDefault="004E18DB" w:rsidP="004E18DB">
            <w:pPr>
              <w:spacing w:before="0" w:after="160" w:line="278" w:lineRule="auto"/>
              <w:rPr>
                <w:rFonts w:eastAsia="Arial" w:cs="Arial"/>
                <w:kern w:val="2"/>
                <w:sz w:val="18"/>
                <w:szCs w:val="18"/>
                <w:lang w:val="es-ES"/>
                <w14:ligatures w14:val="standardContextual"/>
              </w:rPr>
            </w:pPr>
          </w:p>
        </w:tc>
        <w:tc>
          <w:tcPr>
            <w:tcW w:w="702" w:type="pct"/>
            <w:vAlign w:val="center"/>
          </w:tcPr>
          <w:p w14:paraId="26BE2E28"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b/>
                <w:bCs/>
                <w:kern w:val="2"/>
                <w:sz w:val="18"/>
                <w:szCs w:val="18"/>
                <w14:ligatures w14:val="standardContextual"/>
              </w:rPr>
              <w:t>Cargo</w:t>
            </w:r>
          </w:p>
        </w:tc>
        <w:tc>
          <w:tcPr>
            <w:tcW w:w="978" w:type="pct"/>
            <w:vMerge/>
            <w:vAlign w:val="center"/>
          </w:tcPr>
          <w:p w14:paraId="68FD8D8B" w14:textId="77777777" w:rsidR="004E18DB" w:rsidRPr="004E18DB" w:rsidRDefault="004E18DB" w:rsidP="004E18DB">
            <w:pPr>
              <w:spacing w:before="0" w:after="160" w:line="278" w:lineRule="auto"/>
              <w:rPr>
                <w:rFonts w:eastAsia="Arial" w:cs="Arial"/>
                <w:kern w:val="2"/>
                <w:sz w:val="18"/>
                <w:szCs w:val="18"/>
                <w:lang w:val="es-ES"/>
                <w14:ligatures w14:val="standardContextual"/>
              </w:rPr>
            </w:pPr>
          </w:p>
        </w:tc>
        <w:tc>
          <w:tcPr>
            <w:tcW w:w="636" w:type="pct"/>
            <w:vAlign w:val="center"/>
          </w:tcPr>
          <w:p w14:paraId="622C059B" w14:textId="77777777" w:rsidR="004E18DB" w:rsidRPr="004E18DB" w:rsidRDefault="004E18DB" w:rsidP="004E18DB">
            <w:pPr>
              <w:spacing w:before="0" w:after="160" w:line="278" w:lineRule="auto"/>
              <w:rPr>
                <w:rFonts w:eastAsia="Aptos" w:cs="Arial"/>
                <w:kern w:val="2"/>
                <w:sz w:val="18"/>
                <w:szCs w:val="18"/>
                <w14:ligatures w14:val="standardContextual"/>
              </w:rPr>
            </w:pPr>
            <w:r w:rsidRPr="004E18DB">
              <w:rPr>
                <w:rFonts w:eastAsia="Aptos" w:cs="Arial"/>
                <w:b/>
                <w:bCs/>
                <w:kern w:val="2"/>
                <w:sz w:val="18"/>
                <w:szCs w:val="18"/>
                <w14:ligatures w14:val="standardContextual"/>
              </w:rPr>
              <w:t>Cargo</w:t>
            </w:r>
          </w:p>
        </w:tc>
        <w:tc>
          <w:tcPr>
            <w:tcW w:w="1081" w:type="pct"/>
            <w:vMerge/>
            <w:vAlign w:val="center"/>
          </w:tcPr>
          <w:p w14:paraId="4DDFEBAA" w14:textId="77777777" w:rsidR="004E18DB" w:rsidRPr="004E18DB" w:rsidRDefault="004E18DB" w:rsidP="004E18DB">
            <w:pPr>
              <w:spacing w:before="0" w:after="160" w:line="278" w:lineRule="auto"/>
              <w:rPr>
                <w:rFonts w:eastAsia="Arial" w:cs="Arial"/>
                <w:kern w:val="2"/>
                <w:sz w:val="18"/>
                <w:szCs w:val="18"/>
                <w:lang w:val="es-ES"/>
                <w14:ligatures w14:val="standardContextual"/>
              </w:rPr>
            </w:pPr>
          </w:p>
        </w:tc>
      </w:tr>
      <w:tr w:rsidR="004E18DB" w:rsidRPr="004E18DB" w14:paraId="639AE11A" w14:textId="77777777" w:rsidTr="00793D47">
        <w:trPr>
          <w:trHeight w:val="616"/>
        </w:trPr>
        <w:tc>
          <w:tcPr>
            <w:tcW w:w="800" w:type="pct"/>
            <w:vAlign w:val="center"/>
          </w:tcPr>
          <w:p w14:paraId="76148232"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Fecha</w:t>
            </w:r>
          </w:p>
        </w:tc>
        <w:tc>
          <w:tcPr>
            <w:tcW w:w="803" w:type="pct"/>
            <w:vMerge/>
            <w:vAlign w:val="center"/>
          </w:tcPr>
          <w:p w14:paraId="0BD3A6FD" w14:textId="77777777" w:rsidR="004E18DB" w:rsidRPr="004E18DB" w:rsidRDefault="004E18DB" w:rsidP="004E18DB">
            <w:pPr>
              <w:spacing w:before="0" w:after="160" w:line="278" w:lineRule="auto"/>
              <w:rPr>
                <w:rFonts w:eastAsia="Arial" w:cs="Arial"/>
                <w:kern w:val="2"/>
                <w:sz w:val="18"/>
                <w:szCs w:val="18"/>
                <w14:ligatures w14:val="standardContextual"/>
              </w:rPr>
            </w:pPr>
          </w:p>
        </w:tc>
        <w:tc>
          <w:tcPr>
            <w:tcW w:w="702" w:type="pct"/>
            <w:vAlign w:val="center"/>
          </w:tcPr>
          <w:p w14:paraId="51B9DDE6"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Fecha</w:t>
            </w:r>
          </w:p>
        </w:tc>
        <w:tc>
          <w:tcPr>
            <w:tcW w:w="978" w:type="pct"/>
            <w:vMerge/>
            <w:vAlign w:val="center"/>
          </w:tcPr>
          <w:p w14:paraId="62829DEA" w14:textId="77777777" w:rsidR="004E18DB" w:rsidRPr="004E18DB" w:rsidRDefault="004E18DB" w:rsidP="004E18DB">
            <w:pPr>
              <w:spacing w:before="0" w:after="160" w:line="278" w:lineRule="auto"/>
              <w:rPr>
                <w:rFonts w:eastAsia="Aptos" w:cs="Arial"/>
                <w:kern w:val="2"/>
                <w:sz w:val="18"/>
                <w:szCs w:val="18"/>
                <w14:ligatures w14:val="standardContextual"/>
              </w:rPr>
            </w:pPr>
          </w:p>
        </w:tc>
        <w:tc>
          <w:tcPr>
            <w:tcW w:w="636" w:type="pct"/>
            <w:vAlign w:val="center"/>
          </w:tcPr>
          <w:p w14:paraId="47F10049" w14:textId="77777777" w:rsidR="004E18DB" w:rsidRPr="004E18DB" w:rsidRDefault="004E18DB" w:rsidP="004E18DB">
            <w:pPr>
              <w:spacing w:before="0" w:after="160" w:line="278" w:lineRule="auto"/>
              <w:rPr>
                <w:rFonts w:eastAsia="Aptos" w:cs="Arial"/>
                <w:b/>
                <w:bCs/>
                <w:kern w:val="2"/>
                <w:sz w:val="18"/>
                <w:szCs w:val="18"/>
                <w14:ligatures w14:val="standardContextual"/>
              </w:rPr>
            </w:pPr>
            <w:r w:rsidRPr="004E18DB">
              <w:rPr>
                <w:rFonts w:eastAsia="Aptos" w:cs="Arial"/>
                <w:b/>
                <w:bCs/>
                <w:kern w:val="2"/>
                <w:sz w:val="18"/>
                <w:szCs w:val="18"/>
                <w14:ligatures w14:val="standardContextual"/>
              </w:rPr>
              <w:t>Fecha</w:t>
            </w:r>
          </w:p>
        </w:tc>
        <w:tc>
          <w:tcPr>
            <w:tcW w:w="1081" w:type="pct"/>
            <w:vMerge/>
            <w:vAlign w:val="center"/>
          </w:tcPr>
          <w:p w14:paraId="03A4C80A" w14:textId="77777777" w:rsidR="004E18DB" w:rsidRPr="004E18DB" w:rsidRDefault="004E18DB" w:rsidP="004E18DB">
            <w:pPr>
              <w:spacing w:before="0" w:after="160" w:line="278" w:lineRule="auto"/>
              <w:rPr>
                <w:rFonts w:eastAsia="Aptos" w:cs="Arial"/>
                <w:kern w:val="2"/>
                <w:sz w:val="18"/>
                <w:szCs w:val="18"/>
                <w14:ligatures w14:val="standardContextual"/>
              </w:rPr>
            </w:pPr>
          </w:p>
        </w:tc>
      </w:tr>
    </w:tbl>
    <w:p w14:paraId="7C1C200C" w14:textId="77777777" w:rsidR="003B7FD5" w:rsidRDefault="003B7FD5" w:rsidP="3A00CC1B">
      <w:pPr>
        <w:jc w:val="both"/>
        <w:rPr>
          <w:rFonts w:cs="Arial"/>
        </w:rPr>
      </w:pPr>
    </w:p>
    <w:sectPr w:rsidR="003B7FD5" w:rsidSect="00AC37A4">
      <w:headerReference w:type="default" r:id="rId12"/>
      <w:footerReference w:type="default" r:id="rId13"/>
      <w:pgSz w:w="12240" w:h="15840"/>
      <w:pgMar w:top="1701" w:right="1701" w:bottom="1701" w:left="226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4D7D" w14:textId="77777777" w:rsidR="00D12AB8" w:rsidRDefault="00D12AB8">
      <w:pPr>
        <w:spacing w:before="0" w:after="0" w:line="240" w:lineRule="auto"/>
      </w:pPr>
      <w:r>
        <w:separator/>
      </w:r>
    </w:p>
  </w:endnote>
  <w:endnote w:type="continuationSeparator" w:id="0">
    <w:p w14:paraId="1E8C648B" w14:textId="77777777" w:rsidR="00D12AB8" w:rsidRDefault="00D12A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772F" w14:textId="12F9AEEB" w:rsidR="00E3702C" w:rsidRDefault="00BD35C1" w:rsidP="00BD35C1">
    <w:pPr>
      <w:pStyle w:val="Piedepgina"/>
      <w:tabs>
        <w:tab w:val="left" w:pos="615"/>
        <w:tab w:val="right" w:pos="8271"/>
      </w:tabs>
    </w:pPr>
    <w:r>
      <w:rPr>
        <w:sz w:val="20"/>
        <w:szCs w:val="20"/>
        <w:lang w:val="es-ES"/>
      </w:rPr>
      <w:t>Documento controlado</w:t>
    </w:r>
    <w:r>
      <w:rPr>
        <w:sz w:val="20"/>
        <w:szCs w:val="20"/>
        <w:lang w:val="es-ES"/>
      </w:rPr>
      <w:tab/>
    </w:r>
    <w:r>
      <w:rPr>
        <w:sz w:val="20"/>
        <w:szCs w:val="20"/>
        <w:lang w:val="es-ES"/>
      </w:rPr>
      <w:tab/>
    </w:r>
    <w:r w:rsidR="00E3702C" w:rsidRPr="00D42328">
      <w:rPr>
        <w:sz w:val="20"/>
        <w:szCs w:val="20"/>
        <w:lang w:val="es-ES"/>
      </w:rPr>
      <w:t xml:space="preserve">pág. </w:t>
    </w:r>
    <w:r w:rsidR="00E3702C" w:rsidRPr="00D42328">
      <w:rPr>
        <w:sz w:val="20"/>
        <w:szCs w:val="20"/>
      </w:rPr>
      <w:fldChar w:fldCharType="begin"/>
    </w:r>
    <w:r w:rsidR="00E3702C" w:rsidRPr="00D42328">
      <w:rPr>
        <w:sz w:val="20"/>
        <w:szCs w:val="20"/>
      </w:rPr>
      <w:instrText>PAGE  \* Arabic</w:instrText>
    </w:r>
    <w:r w:rsidR="00E3702C" w:rsidRPr="00D42328">
      <w:rPr>
        <w:sz w:val="20"/>
        <w:szCs w:val="20"/>
      </w:rPr>
      <w:fldChar w:fldCharType="separate"/>
    </w:r>
    <w:r w:rsidR="00E3702C" w:rsidRPr="00D42328">
      <w:rPr>
        <w:sz w:val="20"/>
        <w:szCs w:val="20"/>
        <w:lang w:val="es-ES"/>
      </w:rPr>
      <w:t>1</w:t>
    </w:r>
    <w:r w:rsidR="00E3702C" w:rsidRPr="00D42328">
      <w:rPr>
        <w:sz w:val="20"/>
        <w:szCs w:val="20"/>
      </w:rPr>
      <w:fldChar w:fldCharType="end"/>
    </w:r>
  </w:p>
  <w:p w14:paraId="4B4BFF5B" w14:textId="77777777" w:rsidR="00E3702C" w:rsidRDefault="00E370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9EF8" w14:textId="77777777" w:rsidR="00D12AB8" w:rsidRDefault="00D12AB8">
      <w:pPr>
        <w:spacing w:before="0" w:after="0" w:line="240" w:lineRule="auto"/>
      </w:pPr>
      <w:r>
        <w:separator/>
      </w:r>
    </w:p>
  </w:footnote>
  <w:footnote w:type="continuationSeparator" w:id="0">
    <w:p w14:paraId="1F85D2D3" w14:textId="77777777" w:rsidR="00D12AB8" w:rsidRDefault="00D12A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8042" w14:textId="77777777" w:rsidR="00E3702C" w:rsidRDefault="00E3702C">
    <w:pPr>
      <w:pStyle w:val="Encabezado"/>
      <w:ind w:left="-993"/>
    </w:pPr>
  </w:p>
  <w:tbl>
    <w:tblPr>
      <w:tblStyle w:val="Tablaconcuadrcula"/>
      <w:tblW w:w="9789" w:type="dxa"/>
      <w:jc w:val="center"/>
      <w:tblLook w:val="04A0" w:firstRow="1" w:lastRow="0" w:firstColumn="1" w:lastColumn="0" w:noHBand="0" w:noVBand="1"/>
    </w:tblPr>
    <w:tblGrid>
      <w:gridCol w:w="2133"/>
      <w:gridCol w:w="4808"/>
      <w:gridCol w:w="1297"/>
      <w:gridCol w:w="1551"/>
    </w:tblGrid>
    <w:tr w:rsidR="00A25191" w:rsidRPr="003622FD" w14:paraId="4168F50B" w14:textId="77777777" w:rsidTr="18981978">
      <w:trPr>
        <w:trHeight w:val="416"/>
        <w:jc w:val="center"/>
      </w:trPr>
      <w:tc>
        <w:tcPr>
          <w:tcW w:w="2133" w:type="dxa"/>
          <w:vMerge w:val="restart"/>
          <w:tcBorders>
            <w:top w:val="single" w:sz="4" w:space="0" w:color="auto"/>
            <w:left w:val="single" w:sz="4" w:space="0" w:color="auto"/>
            <w:right w:val="single" w:sz="4" w:space="0" w:color="auto"/>
          </w:tcBorders>
        </w:tcPr>
        <w:p w14:paraId="488029E2" w14:textId="77777777" w:rsidR="00E3702C" w:rsidRPr="003622FD" w:rsidRDefault="00E3702C" w:rsidP="000B4BE1">
          <w:pPr>
            <w:pStyle w:val="Encabezado"/>
            <w:spacing w:before="0"/>
            <w:rPr>
              <w:rFonts w:cs="Arial"/>
              <w:b/>
              <w:bCs/>
              <w:sz w:val="22"/>
            </w:rPr>
          </w:pPr>
          <w:bookmarkStart w:id="5" w:name="_Hlk132632420"/>
          <w:r w:rsidRPr="002E6EDE">
            <w:rPr>
              <w:rFonts w:cs="Arial"/>
              <w:b/>
              <w:bCs/>
              <w:noProof/>
              <w:sz w:val="22"/>
            </w:rPr>
            <w:drawing>
              <wp:anchor distT="0" distB="0" distL="114300" distR="114300" simplePos="0" relativeHeight="251659264" behindDoc="0" locked="0" layoutInCell="1" allowOverlap="1" wp14:anchorId="5F3CA411" wp14:editId="346F1B22">
                <wp:simplePos x="0" y="0"/>
                <wp:positionH relativeFrom="column">
                  <wp:posOffset>-46990</wp:posOffset>
                </wp:positionH>
                <wp:positionV relativeFrom="paragraph">
                  <wp:posOffset>56515</wp:posOffset>
                </wp:positionV>
                <wp:extent cx="1294846" cy="771525"/>
                <wp:effectExtent l="0" t="0" r="63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294846"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08" w:type="dxa"/>
          <w:tcBorders>
            <w:top w:val="single" w:sz="4" w:space="0" w:color="auto"/>
            <w:left w:val="single" w:sz="4" w:space="0" w:color="auto"/>
            <w:right w:val="single" w:sz="4" w:space="0" w:color="auto"/>
          </w:tcBorders>
          <w:vAlign w:val="center"/>
        </w:tcPr>
        <w:p w14:paraId="77D3AEFF" w14:textId="43A62C83" w:rsidR="00E3702C" w:rsidRPr="00B34B55" w:rsidRDefault="00B34B55" w:rsidP="000B4BE1">
          <w:pPr>
            <w:pStyle w:val="Encabezado"/>
            <w:spacing w:before="0"/>
            <w:jc w:val="center"/>
            <w:rPr>
              <w:rFonts w:cs="Arial"/>
              <w:b/>
              <w:bCs/>
              <w:sz w:val="22"/>
            </w:rPr>
          </w:pPr>
          <w:r w:rsidRPr="00B34B55">
            <w:rPr>
              <w:rFonts w:cs="Arial"/>
              <w:b/>
              <w:bCs/>
              <w:sz w:val="22"/>
            </w:rPr>
            <w:t>RELACIONAMIENTO CON LA CIUDADANÍA Y GRUPOS DE VALOR</w:t>
          </w:r>
        </w:p>
      </w:tc>
      <w:tc>
        <w:tcPr>
          <w:tcW w:w="1297" w:type="dxa"/>
          <w:tcBorders>
            <w:left w:val="single" w:sz="4" w:space="0" w:color="auto"/>
          </w:tcBorders>
          <w:vAlign w:val="center"/>
        </w:tcPr>
        <w:p w14:paraId="0EED5C0F" w14:textId="77777777" w:rsidR="00E3702C" w:rsidRPr="00B34B55" w:rsidRDefault="00E3702C" w:rsidP="000B4BE1">
          <w:pPr>
            <w:pStyle w:val="Encabezado"/>
            <w:spacing w:before="0"/>
            <w:rPr>
              <w:rFonts w:cs="Arial"/>
              <w:b/>
              <w:bCs/>
              <w:sz w:val="20"/>
              <w:szCs w:val="20"/>
            </w:rPr>
          </w:pPr>
          <w:r w:rsidRPr="00B34B55">
            <w:rPr>
              <w:rFonts w:cs="Arial"/>
              <w:b/>
              <w:bCs/>
              <w:sz w:val="20"/>
              <w:szCs w:val="20"/>
            </w:rPr>
            <w:t>CÓDIGO</w:t>
          </w:r>
        </w:p>
      </w:tc>
      <w:tc>
        <w:tcPr>
          <w:tcW w:w="1551" w:type="dxa"/>
          <w:vAlign w:val="center"/>
        </w:tcPr>
        <w:p w14:paraId="42F162D2" w14:textId="7FC88A01" w:rsidR="00E3702C" w:rsidRPr="00B34B55" w:rsidRDefault="000B4BE1" w:rsidP="000B4BE1">
          <w:pPr>
            <w:pStyle w:val="Encabezado"/>
            <w:spacing w:before="0"/>
            <w:rPr>
              <w:rFonts w:cs="Arial"/>
              <w:bCs/>
              <w:sz w:val="20"/>
              <w:szCs w:val="20"/>
            </w:rPr>
          </w:pPr>
          <w:r w:rsidRPr="00B34B55">
            <w:rPr>
              <w:rFonts w:cs="Arial"/>
              <w:bCs/>
              <w:sz w:val="20"/>
              <w:szCs w:val="20"/>
            </w:rPr>
            <w:t>E6-PI-1</w:t>
          </w:r>
        </w:p>
      </w:tc>
    </w:tr>
    <w:tr w:rsidR="00A25191" w:rsidRPr="003622FD" w14:paraId="7FDDE56B" w14:textId="77777777" w:rsidTr="18981978">
      <w:trPr>
        <w:trHeight w:val="419"/>
        <w:jc w:val="center"/>
      </w:trPr>
      <w:tc>
        <w:tcPr>
          <w:tcW w:w="2133" w:type="dxa"/>
          <w:vMerge/>
        </w:tcPr>
        <w:p w14:paraId="728D9045" w14:textId="77777777" w:rsidR="00E3702C" w:rsidRPr="003622FD" w:rsidRDefault="00E3702C" w:rsidP="000B4BE1">
          <w:pPr>
            <w:pStyle w:val="Encabezado"/>
            <w:spacing w:before="0"/>
            <w:rPr>
              <w:rFonts w:cs="Arial"/>
              <w:b/>
              <w:bCs/>
              <w:sz w:val="22"/>
            </w:rPr>
          </w:pPr>
        </w:p>
      </w:tc>
      <w:tc>
        <w:tcPr>
          <w:tcW w:w="4808" w:type="dxa"/>
          <w:vMerge w:val="restart"/>
          <w:tcBorders>
            <w:left w:val="single" w:sz="4" w:space="0" w:color="auto"/>
            <w:right w:val="single" w:sz="4" w:space="0" w:color="auto"/>
          </w:tcBorders>
          <w:vAlign w:val="center"/>
        </w:tcPr>
        <w:p w14:paraId="3BE488C6" w14:textId="3A78784E" w:rsidR="00E3702C" w:rsidRPr="00B34B55" w:rsidRDefault="00B34B55" w:rsidP="000B4BE1">
          <w:pPr>
            <w:pStyle w:val="Encabezado"/>
            <w:spacing w:before="0"/>
            <w:jc w:val="center"/>
            <w:rPr>
              <w:rFonts w:cs="Arial"/>
              <w:b/>
              <w:bCs/>
              <w:sz w:val="22"/>
            </w:rPr>
          </w:pPr>
          <w:r w:rsidRPr="00B34B55">
            <w:rPr>
              <w:rFonts w:cs="Arial"/>
              <w:b/>
              <w:bCs/>
              <w:sz w:val="22"/>
            </w:rPr>
            <w:t>POLÍTICA DE SERVICIO AL CIUDADANO</w:t>
          </w:r>
        </w:p>
      </w:tc>
      <w:tc>
        <w:tcPr>
          <w:tcW w:w="1297" w:type="dxa"/>
          <w:tcBorders>
            <w:left w:val="single" w:sz="4" w:space="0" w:color="auto"/>
          </w:tcBorders>
          <w:vAlign w:val="center"/>
        </w:tcPr>
        <w:p w14:paraId="495FE860" w14:textId="77777777" w:rsidR="00E3702C" w:rsidRPr="00B34B55" w:rsidRDefault="00E3702C" w:rsidP="000B4BE1">
          <w:pPr>
            <w:pStyle w:val="Encabezado"/>
            <w:spacing w:before="0"/>
            <w:rPr>
              <w:rFonts w:cs="Arial"/>
              <w:b/>
              <w:bCs/>
              <w:sz w:val="20"/>
              <w:szCs w:val="20"/>
            </w:rPr>
          </w:pPr>
          <w:r w:rsidRPr="00B34B55">
            <w:rPr>
              <w:rFonts w:cs="Arial"/>
              <w:b/>
              <w:bCs/>
              <w:sz w:val="20"/>
              <w:szCs w:val="20"/>
            </w:rPr>
            <w:t>VERSIÓN</w:t>
          </w:r>
        </w:p>
      </w:tc>
      <w:tc>
        <w:tcPr>
          <w:tcW w:w="1551" w:type="dxa"/>
          <w:vAlign w:val="center"/>
        </w:tcPr>
        <w:p w14:paraId="7F62798C" w14:textId="77777777" w:rsidR="00E3702C" w:rsidRPr="00B34B55" w:rsidRDefault="00E3702C" w:rsidP="000B4BE1">
          <w:pPr>
            <w:pStyle w:val="Encabezado"/>
            <w:spacing w:before="0"/>
            <w:rPr>
              <w:rFonts w:cs="Arial"/>
              <w:bCs/>
              <w:sz w:val="20"/>
              <w:szCs w:val="20"/>
            </w:rPr>
          </w:pPr>
          <w:r w:rsidRPr="00B34B55">
            <w:rPr>
              <w:rFonts w:cs="Arial"/>
              <w:bCs/>
              <w:sz w:val="20"/>
              <w:szCs w:val="20"/>
            </w:rPr>
            <w:t>1</w:t>
          </w:r>
        </w:p>
      </w:tc>
    </w:tr>
    <w:tr w:rsidR="00A25191" w:rsidRPr="003622FD" w14:paraId="44796891" w14:textId="77777777" w:rsidTr="18981978">
      <w:trPr>
        <w:trHeight w:val="410"/>
        <w:jc w:val="center"/>
      </w:trPr>
      <w:tc>
        <w:tcPr>
          <w:tcW w:w="2133" w:type="dxa"/>
          <w:vMerge/>
        </w:tcPr>
        <w:p w14:paraId="7EB739EC" w14:textId="77777777" w:rsidR="00E3702C" w:rsidRPr="003622FD" w:rsidRDefault="00E3702C" w:rsidP="000B4BE1">
          <w:pPr>
            <w:pStyle w:val="Encabezado"/>
            <w:spacing w:before="0"/>
            <w:rPr>
              <w:rFonts w:cs="Arial"/>
              <w:b/>
              <w:bCs/>
              <w:sz w:val="22"/>
            </w:rPr>
          </w:pPr>
        </w:p>
      </w:tc>
      <w:tc>
        <w:tcPr>
          <w:tcW w:w="4808" w:type="dxa"/>
          <w:vMerge/>
          <w:vAlign w:val="center"/>
        </w:tcPr>
        <w:p w14:paraId="5635FCE8" w14:textId="77777777" w:rsidR="00E3702C" w:rsidRPr="00366A01" w:rsidRDefault="00E3702C" w:rsidP="000B4BE1">
          <w:pPr>
            <w:pStyle w:val="Encabezado"/>
            <w:spacing w:before="0"/>
            <w:rPr>
              <w:rFonts w:cs="Arial"/>
              <w:b/>
              <w:bCs/>
              <w:szCs w:val="24"/>
            </w:rPr>
          </w:pPr>
        </w:p>
      </w:tc>
      <w:tc>
        <w:tcPr>
          <w:tcW w:w="1297" w:type="dxa"/>
          <w:tcBorders>
            <w:left w:val="single" w:sz="4" w:space="0" w:color="auto"/>
          </w:tcBorders>
          <w:vAlign w:val="center"/>
        </w:tcPr>
        <w:p w14:paraId="703438F4" w14:textId="77777777" w:rsidR="00E3702C" w:rsidRPr="00B34B55" w:rsidRDefault="00E3702C" w:rsidP="000B4BE1">
          <w:pPr>
            <w:pStyle w:val="Encabezado"/>
            <w:spacing w:before="0"/>
            <w:rPr>
              <w:rFonts w:cs="Arial"/>
              <w:b/>
              <w:bCs/>
              <w:sz w:val="20"/>
              <w:szCs w:val="20"/>
            </w:rPr>
          </w:pPr>
          <w:r w:rsidRPr="00B34B55">
            <w:rPr>
              <w:rFonts w:cs="Arial"/>
              <w:b/>
              <w:bCs/>
              <w:sz w:val="20"/>
              <w:szCs w:val="20"/>
            </w:rPr>
            <w:t>FECHA</w:t>
          </w:r>
        </w:p>
      </w:tc>
      <w:tc>
        <w:tcPr>
          <w:tcW w:w="1551" w:type="dxa"/>
          <w:vAlign w:val="center"/>
        </w:tcPr>
        <w:p w14:paraId="1E79DF54" w14:textId="19480506" w:rsidR="00E3702C" w:rsidRPr="00B34B55" w:rsidRDefault="18981978" w:rsidP="18981978">
          <w:pPr>
            <w:pStyle w:val="Encabezado"/>
            <w:spacing w:before="0"/>
            <w:rPr>
              <w:rFonts w:cs="Arial"/>
              <w:sz w:val="20"/>
              <w:szCs w:val="20"/>
            </w:rPr>
          </w:pPr>
          <w:r w:rsidRPr="18981978">
            <w:rPr>
              <w:rFonts w:cs="Arial"/>
              <w:sz w:val="20"/>
              <w:szCs w:val="20"/>
            </w:rPr>
            <w:t>31/03/2026</w:t>
          </w:r>
        </w:p>
      </w:tc>
    </w:tr>
    <w:bookmarkEnd w:id="5"/>
  </w:tbl>
  <w:p w14:paraId="00AD4E5C" w14:textId="77777777" w:rsidR="00E3702C" w:rsidRDefault="00E370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EEFC"/>
    <w:multiLevelType w:val="hybridMultilevel"/>
    <w:tmpl w:val="4A66ADC6"/>
    <w:lvl w:ilvl="0" w:tplc="FC84060A">
      <w:start w:val="1"/>
      <w:numFmt w:val="upperLetter"/>
      <w:lvlText w:val="%1)"/>
      <w:lvlJc w:val="left"/>
      <w:pPr>
        <w:ind w:left="720" w:hanging="360"/>
      </w:pPr>
    </w:lvl>
    <w:lvl w:ilvl="1" w:tplc="F47AADBC">
      <w:start w:val="1"/>
      <w:numFmt w:val="lowerLetter"/>
      <w:lvlText w:val="%2."/>
      <w:lvlJc w:val="left"/>
      <w:pPr>
        <w:ind w:left="1440" w:hanging="360"/>
      </w:pPr>
    </w:lvl>
    <w:lvl w:ilvl="2" w:tplc="BB94C5A2">
      <w:start w:val="1"/>
      <w:numFmt w:val="lowerRoman"/>
      <w:lvlText w:val="%3."/>
      <w:lvlJc w:val="right"/>
      <w:pPr>
        <w:ind w:left="2160" w:hanging="180"/>
      </w:pPr>
    </w:lvl>
    <w:lvl w:ilvl="3" w:tplc="5126A9AC">
      <w:start w:val="1"/>
      <w:numFmt w:val="decimal"/>
      <w:lvlText w:val="%4."/>
      <w:lvlJc w:val="left"/>
      <w:pPr>
        <w:ind w:left="2880" w:hanging="360"/>
      </w:pPr>
    </w:lvl>
    <w:lvl w:ilvl="4" w:tplc="CE88F2D2">
      <w:start w:val="1"/>
      <w:numFmt w:val="lowerLetter"/>
      <w:lvlText w:val="%5."/>
      <w:lvlJc w:val="left"/>
      <w:pPr>
        <w:ind w:left="3600" w:hanging="360"/>
      </w:pPr>
    </w:lvl>
    <w:lvl w:ilvl="5" w:tplc="00AAC3A8">
      <w:start w:val="1"/>
      <w:numFmt w:val="lowerRoman"/>
      <w:lvlText w:val="%6."/>
      <w:lvlJc w:val="right"/>
      <w:pPr>
        <w:ind w:left="4320" w:hanging="180"/>
      </w:pPr>
    </w:lvl>
    <w:lvl w:ilvl="6" w:tplc="78245D0C">
      <w:start w:val="1"/>
      <w:numFmt w:val="decimal"/>
      <w:lvlText w:val="%7."/>
      <w:lvlJc w:val="left"/>
      <w:pPr>
        <w:ind w:left="5040" w:hanging="360"/>
      </w:pPr>
    </w:lvl>
    <w:lvl w:ilvl="7" w:tplc="21F2B508">
      <w:start w:val="1"/>
      <w:numFmt w:val="lowerLetter"/>
      <w:lvlText w:val="%8."/>
      <w:lvlJc w:val="left"/>
      <w:pPr>
        <w:ind w:left="5760" w:hanging="360"/>
      </w:pPr>
    </w:lvl>
    <w:lvl w:ilvl="8" w:tplc="6944C47E">
      <w:start w:val="1"/>
      <w:numFmt w:val="lowerRoman"/>
      <w:lvlText w:val="%9."/>
      <w:lvlJc w:val="right"/>
      <w:pPr>
        <w:ind w:left="6480" w:hanging="180"/>
      </w:pPr>
    </w:lvl>
  </w:abstractNum>
  <w:abstractNum w:abstractNumId="1" w15:restartNumberingAfterBreak="0">
    <w:nsid w:val="13C52599"/>
    <w:multiLevelType w:val="hybridMultilevel"/>
    <w:tmpl w:val="39AA8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DF1E5A"/>
    <w:multiLevelType w:val="hybridMultilevel"/>
    <w:tmpl w:val="589E3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08352B"/>
    <w:multiLevelType w:val="hybridMultilevel"/>
    <w:tmpl w:val="E28C9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E60C54"/>
    <w:multiLevelType w:val="hybridMultilevel"/>
    <w:tmpl w:val="494A0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036CDFA"/>
    <w:multiLevelType w:val="hybridMultilevel"/>
    <w:tmpl w:val="10DAE88A"/>
    <w:lvl w:ilvl="0" w:tplc="9C0E3B34">
      <w:start w:val="1"/>
      <w:numFmt w:val="bullet"/>
      <w:lvlText w:val="o"/>
      <w:lvlJc w:val="left"/>
      <w:pPr>
        <w:ind w:left="720" w:hanging="360"/>
      </w:pPr>
      <w:rPr>
        <w:rFonts w:ascii="Symbol" w:hAnsi="Symbol" w:hint="default"/>
      </w:rPr>
    </w:lvl>
    <w:lvl w:ilvl="1" w:tplc="B34037A2">
      <w:start w:val="1"/>
      <w:numFmt w:val="bullet"/>
      <w:lvlText w:val="o"/>
      <w:lvlJc w:val="left"/>
      <w:pPr>
        <w:ind w:left="1440" w:hanging="360"/>
      </w:pPr>
      <w:rPr>
        <w:rFonts w:ascii="Courier New" w:hAnsi="Courier New" w:hint="default"/>
      </w:rPr>
    </w:lvl>
    <w:lvl w:ilvl="2" w:tplc="BDD29808">
      <w:start w:val="1"/>
      <w:numFmt w:val="bullet"/>
      <w:lvlText w:val=""/>
      <w:lvlJc w:val="left"/>
      <w:pPr>
        <w:ind w:left="2160" w:hanging="360"/>
      </w:pPr>
      <w:rPr>
        <w:rFonts w:ascii="Wingdings" w:hAnsi="Wingdings" w:hint="default"/>
      </w:rPr>
    </w:lvl>
    <w:lvl w:ilvl="3" w:tplc="EA765FCE">
      <w:start w:val="1"/>
      <w:numFmt w:val="bullet"/>
      <w:lvlText w:val=""/>
      <w:lvlJc w:val="left"/>
      <w:pPr>
        <w:ind w:left="2880" w:hanging="360"/>
      </w:pPr>
      <w:rPr>
        <w:rFonts w:ascii="Symbol" w:hAnsi="Symbol" w:hint="default"/>
      </w:rPr>
    </w:lvl>
    <w:lvl w:ilvl="4" w:tplc="F4E0F5C6">
      <w:start w:val="1"/>
      <w:numFmt w:val="bullet"/>
      <w:lvlText w:val="o"/>
      <w:lvlJc w:val="left"/>
      <w:pPr>
        <w:ind w:left="3600" w:hanging="360"/>
      </w:pPr>
      <w:rPr>
        <w:rFonts w:ascii="Courier New" w:hAnsi="Courier New" w:hint="default"/>
      </w:rPr>
    </w:lvl>
    <w:lvl w:ilvl="5" w:tplc="6DFE428C">
      <w:start w:val="1"/>
      <w:numFmt w:val="bullet"/>
      <w:lvlText w:val=""/>
      <w:lvlJc w:val="left"/>
      <w:pPr>
        <w:ind w:left="4320" w:hanging="360"/>
      </w:pPr>
      <w:rPr>
        <w:rFonts w:ascii="Wingdings" w:hAnsi="Wingdings" w:hint="default"/>
      </w:rPr>
    </w:lvl>
    <w:lvl w:ilvl="6" w:tplc="5942AB6E">
      <w:start w:val="1"/>
      <w:numFmt w:val="bullet"/>
      <w:lvlText w:val=""/>
      <w:lvlJc w:val="left"/>
      <w:pPr>
        <w:ind w:left="5040" w:hanging="360"/>
      </w:pPr>
      <w:rPr>
        <w:rFonts w:ascii="Symbol" w:hAnsi="Symbol" w:hint="default"/>
      </w:rPr>
    </w:lvl>
    <w:lvl w:ilvl="7" w:tplc="4E4081EE">
      <w:start w:val="1"/>
      <w:numFmt w:val="bullet"/>
      <w:lvlText w:val="o"/>
      <w:lvlJc w:val="left"/>
      <w:pPr>
        <w:ind w:left="5760" w:hanging="360"/>
      </w:pPr>
      <w:rPr>
        <w:rFonts w:ascii="Courier New" w:hAnsi="Courier New" w:hint="default"/>
      </w:rPr>
    </w:lvl>
    <w:lvl w:ilvl="8" w:tplc="E4C868E2">
      <w:start w:val="1"/>
      <w:numFmt w:val="bullet"/>
      <w:lvlText w:val=""/>
      <w:lvlJc w:val="left"/>
      <w:pPr>
        <w:ind w:left="6480" w:hanging="360"/>
      </w:pPr>
      <w:rPr>
        <w:rFonts w:ascii="Wingdings" w:hAnsi="Wingdings" w:hint="default"/>
      </w:rPr>
    </w:lvl>
  </w:abstractNum>
  <w:abstractNum w:abstractNumId="6" w15:restartNumberingAfterBreak="0">
    <w:nsid w:val="57802428"/>
    <w:multiLevelType w:val="hybridMultilevel"/>
    <w:tmpl w:val="BD249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7A77D08"/>
    <w:multiLevelType w:val="hybridMultilevel"/>
    <w:tmpl w:val="E2160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B0E735B"/>
    <w:multiLevelType w:val="hybridMultilevel"/>
    <w:tmpl w:val="D64A7168"/>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5B35E04"/>
    <w:multiLevelType w:val="hybridMultilevel"/>
    <w:tmpl w:val="CE983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69D6A74"/>
    <w:multiLevelType w:val="hybridMultilevel"/>
    <w:tmpl w:val="61C66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D8A047"/>
    <w:multiLevelType w:val="hybridMultilevel"/>
    <w:tmpl w:val="5AEEB190"/>
    <w:lvl w:ilvl="0" w:tplc="81BA5068">
      <w:start w:val="1"/>
      <w:numFmt w:val="upperLetter"/>
      <w:lvlText w:val="%1)"/>
      <w:lvlJc w:val="left"/>
      <w:pPr>
        <w:ind w:left="720" w:hanging="360"/>
      </w:pPr>
    </w:lvl>
    <w:lvl w:ilvl="1" w:tplc="04EC3D5E">
      <w:start w:val="1"/>
      <w:numFmt w:val="lowerLetter"/>
      <w:lvlText w:val="%2."/>
      <w:lvlJc w:val="left"/>
      <w:pPr>
        <w:ind w:left="1440" w:hanging="360"/>
      </w:pPr>
    </w:lvl>
    <w:lvl w:ilvl="2" w:tplc="B8C6F93C">
      <w:start w:val="1"/>
      <w:numFmt w:val="lowerRoman"/>
      <w:lvlText w:val="%3."/>
      <w:lvlJc w:val="right"/>
      <w:pPr>
        <w:ind w:left="2160" w:hanging="180"/>
      </w:pPr>
    </w:lvl>
    <w:lvl w:ilvl="3" w:tplc="12A47E68">
      <w:start w:val="1"/>
      <w:numFmt w:val="decimal"/>
      <w:lvlText w:val="%4."/>
      <w:lvlJc w:val="left"/>
      <w:pPr>
        <w:ind w:left="2880" w:hanging="360"/>
      </w:pPr>
    </w:lvl>
    <w:lvl w:ilvl="4" w:tplc="E2D6DA8A">
      <w:start w:val="1"/>
      <w:numFmt w:val="lowerLetter"/>
      <w:lvlText w:val="%5."/>
      <w:lvlJc w:val="left"/>
      <w:pPr>
        <w:ind w:left="3600" w:hanging="360"/>
      </w:pPr>
    </w:lvl>
    <w:lvl w:ilvl="5" w:tplc="63A8A488">
      <w:start w:val="1"/>
      <w:numFmt w:val="lowerRoman"/>
      <w:lvlText w:val="%6."/>
      <w:lvlJc w:val="right"/>
      <w:pPr>
        <w:ind w:left="4320" w:hanging="180"/>
      </w:pPr>
    </w:lvl>
    <w:lvl w:ilvl="6" w:tplc="6ADE25BA">
      <w:start w:val="1"/>
      <w:numFmt w:val="decimal"/>
      <w:lvlText w:val="%7."/>
      <w:lvlJc w:val="left"/>
      <w:pPr>
        <w:ind w:left="5040" w:hanging="360"/>
      </w:pPr>
    </w:lvl>
    <w:lvl w:ilvl="7" w:tplc="AC90C624">
      <w:start w:val="1"/>
      <w:numFmt w:val="lowerLetter"/>
      <w:lvlText w:val="%8."/>
      <w:lvlJc w:val="left"/>
      <w:pPr>
        <w:ind w:left="5760" w:hanging="360"/>
      </w:pPr>
    </w:lvl>
    <w:lvl w:ilvl="8" w:tplc="D8C0C282">
      <w:start w:val="1"/>
      <w:numFmt w:val="lowerRoman"/>
      <w:lvlText w:val="%9."/>
      <w:lvlJc w:val="right"/>
      <w:pPr>
        <w:ind w:left="6480" w:hanging="180"/>
      </w:pPr>
    </w:lvl>
  </w:abstractNum>
  <w:abstractNum w:abstractNumId="12" w15:restartNumberingAfterBreak="0">
    <w:nsid w:val="6ACA161E"/>
    <w:multiLevelType w:val="hybridMultilevel"/>
    <w:tmpl w:val="74988F8A"/>
    <w:lvl w:ilvl="0" w:tplc="10D03962">
      <w:start w:val="1"/>
      <w:numFmt w:val="bullet"/>
      <w:lvlText w:val="o"/>
      <w:lvlJc w:val="left"/>
      <w:pPr>
        <w:ind w:left="720" w:hanging="360"/>
      </w:pPr>
      <w:rPr>
        <w:rFonts w:ascii="Symbol" w:hAnsi="Symbol" w:hint="default"/>
      </w:rPr>
    </w:lvl>
    <w:lvl w:ilvl="1" w:tplc="EF5E82F8">
      <w:start w:val="1"/>
      <w:numFmt w:val="bullet"/>
      <w:lvlText w:val="o"/>
      <w:lvlJc w:val="left"/>
      <w:pPr>
        <w:ind w:left="1440" w:hanging="360"/>
      </w:pPr>
      <w:rPr>
        <w:rFonts w:ascii="Courier New" w:hAnsi="Courier New" w:hint="default"/>
      </w:rPr>
    </w:lvl>
    <w:lvl w:ilvl="2" w:tplc="D45EB5F0">
      <w:start w:val="1"/>
      <w:numFmt w:val="bullet"/>
      <w:lvlText w:val=""/>
      <w:lvlJc w:val="left"/>
      <w:pPr>
        <w:ind w:left="2160" w:hanging="360"/>
      </w:pPr>
      <w:rPr>
        <w:rFonts w:ascii="Wingdings" w:hAnsi="Wingdings" w:hint="default"/>
      </w:rPr>
    </w:lvl>
    <w:lvl w:ilvl="3" w:tplc="3FEEDE1E">
      <w:start w:val="1"/>
      <w:numFmt w:val="bullet"/>
      <w:lvlText w:val=""/>
      <w:lvlJc w:val="left"/>
      <w:pPr>
        <w:ind w:left="2880" w:hanging="360"/>
      </w:pPr>
      <w:rPr>
        <w:rFonts w:ascii="Symbol" w:hAnsi="Symbol" w:hint="default"/>
      </w:rPr>
    </w:lvl>
    <w:lvl w:ilvl="4" w:tplc="D6D8A2A4">
      <w:start w:val="1"/>
      <w:numFmt w:val="bullet"/>
      <w:lvlText w:val="o"/>
      <w:lvlJc w:val="left"/>
      <w:pPr>
        <w:ind w:left="3600" w:hanging="360"/>
      </w:pPr>
      <w:rPr>
        <w:rFonts w:ascii="Courier New" w:hAnsi="Courier New" w:hint="default"/>
      </w:rPr>
    </w:lvl>
    <w:lvl w:ilvl="5" w:tplc="0A081182">
      <w:start w:val="1"/>
      <w:numFmt w:val="bullet"/>
      <w:lvlText w:val=""/>
      <w:lvlJc w:val="left"/>
      <w:pPr>
        <w:ind w:left="4320" w:hanging="360"/>
      </w:pPr>
      <w:rPr>
        <w:rFonts w:ascii="Wingdings" w:hAnsi="Wingdings" w:hint="default"/>
      </w:rPr>
    </w:lvl>
    <w:lvl w:ilvl="6" w:tplc="EDD00976">
      <w:start w:val="1"/>
      <w:numFmt w:val="bullet"/>
      <w:lvlText w:val=""/>
      <w:lvlJc w:val="left"/>
      <w:pPr>
        <w:ind w:left="5040" w:hanging="360"/>
      </w:pPr>
      <w:rPr>
        <w:rFonts w:ascii="Symbol" w:hAnsi="Symbol" w:hint="default"/>
      </w:rPr>
    </w:lvl>
    <w:lvl w:ilvl="7" w:tplc="3B72FBE4">
      <w:start w:val="1"/>
      <w:numFmt w:val="bullet"/>
      <w:lvlText w:val="o"/>
      <w:lvlJc w:val="left"/>
      <w:pPr>
        <w:ind w:left="5760" w:hanging="360"/>
      </w:pPr>
      <w:rPr>
        <w:rFonts w:ascii="Courier New" w:hAnsi="Courier New" w:hint="default"/>
      </w:rPr>
    </w:lvl>
    <w:lvl w:ilvl="8" w:tplc="09F44E06">
      <w:start w:val="1"/>
      <w:numFmt w:val="bullet"/>
      <w:lvlText w:val=""/>
      <w:lvlJc w:val="left"/>
      <w:pPr>
        <w:ind w:left="6480" w:hanging="360"/>
      </w:pPr>
      <w:rPr>
        <w:rFonts w:ascii="Wingdings" w:hAnsi="Wingdings" w:hint="default"/>
      </w:rPr>
    </w:lvl>
  </w:abstractNum>
  <w:abstractNum w:abstractNumId="13" w15:restartNumberingAfterBreak="0">
    <w:nsid w:val="6DB3477B"/>
    <w:multiLevelType w:val="hybridMultilevel"/>
    <w:tmpl w:val="B9348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4455149">
    <w:abstractNumId w:val="0"/>
  </w:num>
  <w:num w:numId="2" w16cid:durableId="187255286">
    <w:abstractNumId w:val="11"/>
  </w:num>
  <w:num w:numId="3" w16cid:durableId="1206941137">
    <w:abstractNumId w:val="2"/>
  </w:num>
  <w:num w:numId="4" w16cid:durableId="1719432749">
    <w:abstractNumId w:val="9"/>
  </w:num>
  <w:num w:numId="5" w16cid:durableId="701714626">
    <w:abstractNumId w:val="5"/>
  </w:num>
  <w:num w:numId="6" w16cid:durableId="1923948616">
    <w:abstractNumId w:val="12"/>
  </w:num>
  <w:num w:numId="7" w16cid:durableId="2013100404">
    <w:abstractNumId w:val="4"/>
  </w:num>
  <w:num w:numId="8" w16cid:durableId="1031954483">
    <w:abstractNumId w:val="6"/>
  </w:num>
  <w:num w:numId="9" w16cid:durableId="1308125623">
    <w:abstractNumId w:val="13"/>
  </w:num>
  <w:num w:numId="10" w16cid:durableId="1251427617">
    <w:abstractNumId w:val="7"/>
  </w:num>
  <w:num w:numId="11" w16cid:durableId="998773106">
    <w:abstractNumId w:val="10"/>
  </w:num>
  <w:num w:numId="12" w16cid:durableId="1247419597">
    <w:abstractNumId w:val="1"/>
  </w:num>
  <w:num w:numId="13" w16cid:durableId="1039278010">
    <w:abstractNumId w:val="8"/>
  </w:num>
  <w:num w:numId="14" w16cid:durableId="53821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A4"/>
    <w:rsid w:val="00010242"/>
    <w:rsid w:val="00011055"/>
    <w:rsid w:val="00013F85"/>
    <w:rsid w:val="00035808"/>
    <w:rsid w:val="0004115F"/>
    <w:rsid w:val="00042EEB"/>
    <w:rsid w:val="00046EBC"/>
    <w:rsid w:val="00054001"/>
    <w:rsid w:val="00087862"/>
    <w:rsid w:val="000912AC"/>
    <w:rsid w:val="000A0574"/>
    <w:rsid w:val="000A707F"/>
    <w:rsid w:val="000B1864"/>
    <w:rsid w:val="000B3687"/>
    <w:rsid w:val="000B39CE"/>
    <w:rsid w:val="000B4BE1"/>
    <w:rsid w:val="000D32C7"/>
    <w:rsid w:val="000D775B"/>
    <w:rsid w:val="000F4C2F"/>
    <w:rsid w:val="00102AD6"/>
    <w:rsid w:val="001044D6"/>
    <w:rsid w:val="00107936"/>
    <w:rsid w:val="0013019A"/>
    <w:rsid w:val="00134A5C"/>
    <w:rsid w:val="00142D8C"/>
    <w:rsid w:val="001518B8"/>
    <w:rsid w:val="001552F3"/>
    <w:rsid w:val="001709E7"/>
    <w:rsid w:val="00172D52"/>
    <w:rsid w:val="00181FCB"/>
    <w:rsid w:val="001827CB"/>
    <w:rsid w:val="001A1252"/>
    <w:rsid w:val="001A5025"/>
    <w:rsid w:val="001A757F"/>
    <w:rsid w:val="001B403F"/>
    <w:rsid w:val="001D3AD6"/>
    <w:rsid w:val="001E70FE"/>
    <w:rsid w:val="001F39D3"/>
    <w:rsid w:val="00201406"/>
    <w:rsid w:val="00205F10"/>
    <w:rsid w:val="00207F3A"/>
    <w:rsid w:val="00235D86"/>
    <w:rsid w:val="0024226F"/>
    <w:rsid w:val="0024608B"/>
    <w:rsid w:val="00247990"/>
    <w:rsid w:val="00257747"/>
    <w:rsid w:val="0026404D"/>
    <w:rsid w:val="00267844"/>
    <w:rsid w:val="002800F6"/>
    <w:rsid w:val="0028017C"/>
    <w:rsid w:val="00287AC3"/>
    <w:rsid w:val="002977D9"/>
    <w:rsid w:val="002B43FA"/>
    <w:rsid w:val="002B5AF8"/>
    <w:rsid w:val="002B6E14"/>
    <w:rsid w:val="002D58D7"/>
    <w:rsid w:val="0031435E"/>
    <w:rsid w:val="003156F6"/>
    <w:rsid w:val="003256E3"/>
    <w:rsid w:val="00327679"/>
    <w:rsid w:val="003308E1"/>
    <w:rsid w:val="00365A41"/>
    <w:rsid w:val="003668FB"/>
    <w:rsid w:val="003719F5"/>
    <w:rsid w:val="00390753"/>
    <w:rsid w:val="00394451"/>
    <w:rsid w:val="00394EC9"/>
    <w:rsid w:val="003B7FD5"/>
    <w:rsid w:val="003C0B26"/>
    <w:rsid w:val="003D04D9"/>
    <w:rsid w:val="003F0BA5"/>
    <w:rsid w:val="0040005D"/>
    <w:rsid w:val="004030F7"/>
    <w:rsid w:val="004055F9"/>
    <w:rsid w:val="00425DE0"/>
    <w:rsid w:val="0042652F"/>
    <w:rsid w:val="00434210"/>
    <w:rsid w:val="00437102"/>
    <w:rsid w:val="0045050D"/>
    <w:rsid w:val="00451124"/>
    <w:rsid w:val="00451AAB"/>
    <w:rsid w:val="00456DD6"/>
    <w:rsid w:val="004938D2"/>
    <w:rsid w:val="004A0297"/>
    <w:rsid w:val="004A2932"/>
    <w:rsid w:val="004B03CE"/>
    <w:rsid w:val="004B2FAF"/>
    <w:rsid w:val="004E18DB"/>
    <w:rsid w:val="004E1CD9"/>
    <w:rsid w:val="004F15F8"/>
    <w:rsid w:val="004F448B"/>
    <w:rsid w:val="004F62FA"/>
    <w:rsid w:val="00512C2F"/>
    <w:rsid w:val="005219B4"/>
    <w:rsid w:val="00524717"/>
    <w:rsid w:val="00526A12"/>
    <w:rsid w:val="00557B95"/>
    <w:rsid w:val="005624A5"/>
    <w:rsid w:val="0058530D"/>
    <w:rsid w:val="00585BA7"/>
    <w:rsid w:val="005B769E"/>
    <w:rsid w:val="005D4DE3"/>
    <w:rsid w:val="005E2DCA"/>
    <w:rsid w:val="005E5B20"/>
    <w:rsid w:val="00604F73"/>
    <w:rsid w:val="00620E3C"/>
    <w:rsid w:val="006258C0"/>
    <w:rsid w:val="006264A6"/>
    <w:rsid w:val="00627D22"/>
    <w:rsid w:val="006300FE"/>
    <w:rsid w:val="00635CE9"/>
    <w:rsid w:val="0064225D"/>
    <w:rsid w:val="00652B6C"/>
    <w:rsid w:val="00655224"/>
    <w:rsid w:val="00674DAC"/>
    <w:rsid w:val="006816AF"/>
    <w:rsid w:val="0068208B"/>
    <w:rsid w:val="00690FD8"/>
    <w:rsid w:val="006A4CE1"/>
    <w:rsid w:val="006B16F4"/>
    <w:rsid w:val="006B28BD"/>
    <w:rsid w:val="006B5429"/>
    <w:rsid w:val="006C77B2"/>
    <w:rsid w:val="006D3BE0"/>
    <w:rsid w:val="006E19E9"/>
    <w:rsid w:val="006E1F88"/>
    <w:rsid w:val="006F091C"/>
    <w:rsid w:val="00721754"/>
    <w:rsid w:val="00741691"/>
    <w:rsid w:val="00752A6B"/>
    <w:rsid w:val="00757BD7"/>
    <w:rsid w:val="007638F0"/>
    <w:rsid w:val="00766A1F"/>
    <w:rsid w:val="007838EC"/>
    <w:rsid w:val="0078716F"/>
    <w:rsid w:val="00791FA7"/>
    <w:rsid w:val="007A127C"/>
    <w:rsid w:val="007A2CBA"/>
    <w:rsid w:val="007A5F99"/>
    <w:rsid w:val="007B00D7"/>
    <w:rsid w:val="007E01A9"/>
    <w:rsid w:val="007E663B"/>
    <w:rsid w:val="007F3507"/>
    <w:rsid w:val="00801D42"/>
    <w:rsid w:val="00801D43"/>
    <w:rsid w:val="00806379"/>
    <w:rsid w:val="00806600"/>
    <w:rsid w:val="00831EAB"/>
    <w:rsid w:val="00836089"/>
    <w:rsid w:val="00852D82"/>
    <w:rsid w:val="0086107F"/>
    <w:rsid w:val="0087491F"/>
    <w:rsid w:val="00874DD8"/>
    <w:rsid w:val="0087562F"/>
    <w:rsid w:val="00897DFA"/>
    <w:rsid w:val="008B2944"/>
    <w:rsid w:val="008B4BDD"/>
    <w:rsid w:val="008C2064"/>
    <w:rsid w:val="008C3A29"/>
    <w:rsid w:val="008F15BB"/>
    <w:rsid w:val="00901D53"/>
    <w:rsid w:val="00926F23"/>
    <w:rsid w:val="00940FA0"/>
    <w:rsid w:val="00941845"/>
    <w:rsid w:val="00944355"/>
    <w:rsid w:val="00952303"/>
    <w:rsid w:val="00967CCE"/>
    <w:rsid w:val="00971814"/>
    <w:rsid w:val="00975374"/>
    <w:rsid w:val="009A06B9"/>
    <w:rsid w:val="009A37E9"/>
    <w:rsid w:val="009B138A"/>
    <w:rsid w:val="009D150E"/>
    <w:rsid w:val="009E002A"/>
    <w:rsid w:val="009E14FA"/>
    <w:rsid w:val="009E4C28"/>
    <w:rsid w:val="009E4E51"/>
    <w:rsid w:val="009E5E8B"/>
    <w:rsid w:val="009F11C8"/>
    <w:rsid w:val="009F1918"/>
    <w:rsid w:val="009F2682"/>
    <w:rsid w:val="00A059CD"/>
    <w:rsid w:val="00A23C4D"/>
    <w:rsid w:val="00A25191"/>
    <w:rsid w:val="00A2779B"/>
    <w:rsid w:val="00A31009"/>
    <w:rsid w:val="00A443D1"/>
    <w:rsid w:val="00A73DFA"/>
    <w:rsid w:val="00A746E7"/>
    <w:rsid w:val="00A747D4"/>
    <w:rsid w:val="00A77C32"/>
    <w:rsid w:val="00A83651"/>
    <w:rsid w:val="00A871EF"/>
    <w:rsid w:val="00AB5684"/>
    <w:rsid w:val="00AB6FEA"/>
    <w:rsid w:val="00AC37A4"/>
    <w:rsid w:val="00AC4AF8"/>
    <w:rsid w:val="00AD3BC3"/>
    <w:rsid w:val="00AD70BE"/>
    <w:rsid w:val="00B13527"/>
    <w:rsid w:val="00B16037"/>
    <w:rsid w:val="00B17FEF"/>
    <w:rsid w:val="00B32818"/>
    <w:rsid w:val="00B33AAC"/>
    <w:rsid w:val="00B34688"/>
    <w:rsid w:val="00B34B55"/>
    <w:rsid w:val="00B3755B"/>
    <w:rsid w:val="00B44313"/>
    <w:rsid w:val="00B4509D"/>
    <w:rsid w:val="00B47DE1"/>
    <w:rsid w:val="00B51795"/>
    <w:rsid w:val="00B54175"/>
    <w:rsid w:val="00B574B4"/>
    <w:rsid w:val="00B611A9"/>
    <w:rsid w:val="00B61E79"/>
    <w:rsid w:val="00B6203E"/>
    <w:rsid w:val="00B6513D"/>
    <w:rsid w:val="00B70327"/>
    <w:rsid w:val="00B753F9"/>
    <w:rsid w:val="00B77F68"/>
    <w:rsid w:val="00BA3FE4"/>
    <w:rsid w:val="00BB4B72"/>
    <w:rsid w:val="00BC6596"/>
    <w:rsid w:val="00BD35C1"/>
    <w:rsid w:val="00BD45A6"/>
    <w:rsid w:val="00BD4F6B"/>
    <w:rsid w:val="00BE240A"/>
    <w:rsid w:val="00BE31F8"/>
    <w:rsid w:val="00BF5A32"/>
    <w:rsid w:val="00C02A22"/>
    <w:rsid w:val="00C10B9A"/>
    <w:rsid w:val="00C2668E"/>
    <w:rsid w:val="00C36CEA"/>
    <w:rsid w:val="00C453CF"/>
    <w:rsid w:val="00C457F7"/>
    <w:rsid w:val="00C81653"/>
    <w:rsid w:val="00C82AA9"/>
    <w:rsid w:val="00CA238E"/>
    <w:rsid w:val="00CA4853"/>
    <w:rsid w:val="00CA7AEE"/>
    <w:rsid w:val="00CC63DC"/>
    <w:rsid w:val="00CE48EE"/>
    <w:rsid w:val="00CE53AB"/>
    <w:rsid w:val="00CE66B0"/>
    <w:rsid w:val="00CF3CD8"/>
    <w:rsid w:val="00D05ABD"/>
    <w:rsid w:val="00D12AB8"/>
    <w:rsid w:val="00D132B7"/>
    <w:rsid w:val="00D15054"/>
    <w:rsid w:val="00D21152"/>
    <w:rsid w:val="00D2462C"/>
    <w:rsid w:val="00D37158"/>
    <w:rsid w:val="00D44361"/>
    <w:rsid w:val="00D54D41"/>
    <w:rsid w:val="00D67CDC"/>
    <w:rsid w:val="00D742B7"/>
    <w:rsid w:val="00D80C20"/>
    <w:rsid w:val="00D8457A"/>
    <w:rsid w:val="00D923AD"/>
    <w:rsid w:val="00D951D8"/>
    <w:rsid w:val="00DA059A"/>
    <w:rsid w:val="00DB21BF"/>
    <w:rsid w:val="00DC3482"/>
    <w:rsid w:val="00DD06E9"/>
    <w:rsid w:val="00DD27C4"/>
    <w:rsid w:val="00DE6441"/>
    <w:rsid w:val="00DF1298"/>
    <w:rsid w:val="00DF3F96"/>
    <w:rsid w:val="00E31241"/>
    <w:rsid w:val="00E32F10"/>
    <w:rsid w:val="00E3702C"/>
    <w:rsid w:val="00E44B96"/>
    <w:rsid w:val="00E50E6F"/>
    <w:rsid w:val="00E55203"/>
    <w:rsid w:val="00E72CE5"/>
    <w:rsid w:val="00E74045"/>
    <w:rsid w:val="00EAA1C7"/>
    <w:rsid w:val="00EB3F42"/>
    <w:rsid w:val="00EB75D6"/>
    <w:rsid w:val="00EC174A"/>
    <w:rsid w:val="00EC18B0"/>
    <w:rsid w:val="00EC6921"/>
    <w:rsid w:val="00EC6CFF"/>
    <w:rsid w:val="00EE62AB"/>
    <w:rsid w:val="00EF0B25"/>
    <w:rsid w:val="00EF6CA7"/>
    <w:rsid w:val="00F00557"/>
    <w:rsid w:val="00F11D27"/>
    <w:rsid w:val="00F328DB"/>
    <w:rsid w:val="00F3424A"/>
    <w:rsid w:val="00F439A7"/>
    <w:rsid w:val="00F77633"/>
    <w:rsid w:val="00FA10CA"/>
    <w:rsid w:val="00FA1161"/>
    <w:rsid w:val="00FA4EB3"/>
    <w:rsid w:val="00FB010B"/>
    <w:rsid w:val="00FB0CE0"/>
    <w:rsid w:val="00FB212B"/>
    <w:rsid w:val="00FB3E5B"/>
    <w:rsid w:val="00FC10F8"/>
    <w:rsid w:val="00FC2E2D"/>
    <w:rsid w:val="00FE5548"/>
    <w:rsid w:val="01505B71"/>
    <w:rsid w:val="0194A8A0"/>
    <w:rsid w:val="0229B9C5"/>
    <w:rsid w:val="02471103"/>
    <w:rsid w:val="029F9B5C"/>
    <w:rsid w:val="02A1525C"/>
    <w:rsid w:val="02AC69B0"/>
    <w:rsid w:val="0314352C"/>
    <w:rsid w:val="034234EB"/>
    <w:rsid w:val="03DE20AB"/>
    <w:rsid w:val="054676CE"/>
    <w:rsid w:val="05E92090"/>
    <w:rsid w:val="06310788"/>
    <w:rsid w:val="0707FAFF"/>
    <w:rsid w:val="0731CB23"/>
    <w:rsid w:val="08723484"/>
    <w:rsid w:val="08843FA6"/>
    <w:rsid w:val="08C96923"/>
    <w:rsid w:val="0977E3F5"/>
    <w:rsid w:val="0A35B126"/>
    <w:rsid w:val="0BA74179"/>
    <w:rsid w:val="0C44499A"/>
    <w:rsid w:val="0C91AA53"/>
    <w:rsid w:val="0D1DCEE7"/>
    <w:rsid w:val="0D4E4AB1"/>
    <w:rsid w:val="0DE37360"/>
    <w:rsid w:val="0E58FD90"/>
    <w:rsid w:val="0E6C87C2"/>
    <w:rsid w:val="0F2DE084"/>
    <w:rsid w:val="0F2E0644"/>
    <w:rsid w:val="0FB25CF0"/>
    <w:rsid w:val="0FC9EB69"/>
    <w:rsid w:val="1136065A"/>
    <w:rsid w:val="11384CB0"/>
    <w:rsid w:val="119EBB67"/>
    <w:rsid w:val="1222B2BD"/>
    <w:rsid w:val="12D730A3"/>
    <w:rsid w:val="12F57566"/>
    <w:rsid w:val="130488EB"/>
    <w:rsid w:val="133D3E80"/>
    <w:rsid w:val="138FF8DD"/>
    <w:rsid w:val="13D821A5"/>
    <w:rsid w:val="14565736"/>
    <w:rsid w:val="146D4042"/>
    <w:rsid w:val="149A92F1"/>
    <w:rsid w:val="14B31F75"/>
    <w:rsid w:val="14B82BE6"/>
    <w:rsid w:val="14C81AE1"/>
    <w:rsid w:val="14E4C319"/>
    <w:rsid w:val="15174CD0"/>
    <w:rsid w:val="163B8B74"/>
    <w:rsid w:val="1661F7BA"/>
    <w:rsid w:val="167105A1"/>
    <w:rsid w:val="16AA53DA"/>
    <w:rsid w:val="16CB2407"/>
    <w:rsid w:val="16F58E10"/>
    <w:rsid w:val="18981978"/>
    <w:rsid w:val="19414868"/>
    <w:rsid w:val="1A683107"/>
    <w:rsid w:val="1A7CC6CB"/>
    <w:rsid w:val="1BC7F16A"/>
    <w:rsid w:val="1D467C0A"/>
    <w:rsid w:val="1D5CE042"/>
    <w:rsid w:val="1E0F1363"/>
    <w:rsid w:val="1E65D472"/>
    <w:rsid w:val="1EB58241"/>
    <w:rsid w:val="1EBE3DA6"/>
    <w:rsid w:val="1F51AC64"/>
    <w:rsid w:val="209B56CD"/>
    <w:rsid w:val="225BDB77"/>
    <w:rsid w:val="2322192D"/>
    <w:rsid w:val="239B3B71"/>
    <w:rsid w:val="23DFFB77"/>
    <w:rsid w:val="24929161"/>
    <w:rsid w:val="24A6954A"/>
    <w:rsid w:val="2505C079"/>
    <w:rsid w:val="250845B0"/>
    <w:rsid w:val="25158982"/>
    <w:rsid w:val="251EB8E5"/>
    <w:rsid w:val="253385B6"/>
    <w:rsid w:val="253BD691"/>
    <w:rsid w:val="25B0EAAE"/>
    <w:rsid w:val="25C5EB2A"/>
    <w:rsid w:val="261F5BF2"/>
    <w:rsid w:val="262C9A62"/>
    <w:rsid w:val="265805EE"/>
    <w:rsid w:val="27C40E90"/>
    <w:rsid w:val="285F4D3B"/>
    <w:rsid w:val="28B021FB"/>
    <w:rsid w:val="28D4E628"/>
    <w:rsid w:val="28E6323C"/>
    <w:rsid w:val="28F41C2E"/>
    <w:rsid w:val="29028259"/>
    <w:rsid w:val="29E33E40"/>
    <w:rsid w:val="2AC426CF"/>
    <w:rsid w:val="2AF1BA9E"/>
    <w:rsid w:val="2B1AE5E1"/>
    <w:rsid w:val="2BBBB4EB"/>
    <w:rsid w:val="2C09E435"/>
    <w:rsid w:val="2CAAFE8B"/>
    <w:rsid w:val="2CBD36DE"/>
    <w:rsid w:val="2D889B07"/>
    <w:rsid w:val="2DFF3ADA"/>
    <w:rsid w:val="2E43EE79"/>
    <w:rsid w:val="2E9890A6"/>
    <w:rsid w:val="2EECB34D"/>
    <w:rsid w:val="2F59AE30"/>
    <w:rsid w:val="2F644C69"/>
    <w:rsid w:val="2FBF5B73"/>
    <w:rsid w:val="31C6DC2E"/>
    <w:rsid w:val="31E4E8A3"/>
    <w:rsid w:val="31EEE25D"/>
    <w:rsid w:val="3212C3AA"/>
    <w:rsid w:val="328C94FA"/>
    <w:rsid w:val="328EA797"/>
    <w:rsid w:val="32EA360C"/>
    <w:rsid w:val="336ED0B3"/>
    <w:rsid w:val="3394FA8D"/>
    <w:rsid w:val="34E7CE19"/>
    <w:rsid w:val="356A0262"/>
    <w:rsid w:val="36040C6D"/>
    <w:rsid w:val="3702AA9B"/>
    <w:rsid w:val="37793890"/>
    <w:rsid w:val="37E1A9B8"/>
    <w:rsid w:val="383CD940"/>
    <w:rsid w:val="385238F3"/>
    <w:rsid w:val="38AABB89"/>
    <w:rsid w:val="397CE748"/>
    <w:rsid w:val="3A00CC1B"/>
    <w:rsid w:val="3BD3B302"/>
    <w:rsid w:val="3DD323FB"/>
    <w:rsid w:val="3E1B89A3"/>
    <w:rsid w:val="3ED23996"/>
    <w:rsid w:val="3EE45F64"/>
    <w:rsid w:val="3F360777"/>
    <w:rsid w:val="3FAFB6E9"/>
    <w:rsid w:val="3FC7DC73"/>
    <w:rsid w:val="40308998"/>
    <w:rsid w:val="405B121C"/>
    <w:rsid w:val="40B45FF8"/>
    <w:rsid w:val="40F02403"/>
    <w:rsid w:val="40F189DB"/>
    <w:rsid w:val="410BA7BF"/>
    <w:rsid w:val="41370110"/>
    <w:rsid w:val="419213E1"/>
    <w:rsid w:val="41CD639D"/>
    <w:rsid w:val="41E3620E"/>
    <w:rsid w:val="422008AF"/>
    <w:rsid w:val="42DCE7BC"/>
    <w:rsid w:val="432C861C"/>
    <w:rsid w:val="4346E6CF"/>
    <w:rsid w:val="435B73F8"/>
    <w:rsid w:val="436628A4"/>
    <w:rsid w:val="43AE124B"/>
    <w:rsid w:val="43D44C76"/>
    <w:rsid w:val="43F08642"/>
    <w:rsid w:val="4450A946"/>
    <w:rsid w:val="44CD4899"/>
    <w:rsid w:val="45358E2B"/>
    <w:rsid w:val="45B840EC"/>
    <w:rsid w:val="45D7A2EC"/>
    <w:rsid w:val="460ABCCF"/>
    <w:rsid w:val="46AD7A86"/>
    <w:rsid w:val="46C80683"/>
    <w:rsid w:val="47203D64"/>
    <w:rsid w:val="48022503"/>
    <w:rsid w:val="4904306A"/>
    <w:rsid w:val="49A97BE9"/>
    <w:rsid w:val="4A1E46A2"/>
    <w:rsid w:val="4A3BF217"/>
    <w:rsid w:val="4AE1A494"/>
    <w:rsid w:val="4B00CCF9"/>
    <w:rsid w:val="4B8FDAB4"/>
    <w:rsid w:val="4BAB475A"/>
    <w:rsid w:val="4BB59127"/>
    <w:rsid w:val="4C6158E4"/>
    <w:rsid w:val="4CC661F2"/>
    <w:rsid w:val="4D1B92B3"/>
    <w:rsid w:val="4E346C69"/>
    <w:rsid w:val="4ED8D7DB"/>
    <w:rsid w:val="4F7BDE52"/>
    <w:rsid w:val="4FCD64BF"/>
    <w:rsid w:val="4FECBFAD"/>
    <w:rsid w:val="50AEB8C3"/>
    <w:rsid w:val="51CDAF2B"/>
    <w:rsid w:val="51F535B8"/>
    <w:rsid w:val="52802110"/>
    <w:rsid w:val="52A11870"/>
    <w:rsid w:val="539D8AA5"/>
    <w:rsid w:val="5480D97C"/>
    <w:rsid w:val="5490A583"/>
    <w:rsid w:val="54FB524B"/>
    <w:rsid w:val="55D2A058"/>
    <w:rsid w:val="56C513FF"/>
    <w:rsid w:val="57B65687"/>
    <w:rsid w:val="59175586"/>
    <w:rsid w:val="59D815B8"/>
    <w:rsid w:val="5BF953D0"/>
    <w:rsid w:val="5DAD39DF"/>
    <w:rsid w:val="5E07F6D4"/>
    <w:rsid w:val="5E7D3DCE"/>
    <w:rsid w:val="5E8E7487"/>
    <w:rsid w:val="5F7F4E9B"/>
    <w:rsid w:val="5F8D9108"/>
    <w:rsid w:val="5F9EA30C"/>
    <w:rsid w:val="5FA1DEA7"/>
    <w:rsid w:val="60EF939D"/>
    <w:rsid w:val="618C3134"/>
    <w:rsid w:val="6191CFCE"/>
    <w:rsid w:val="61C8EB83"/>
    <w:rsid w:val="61F77F8E"/>
    <w:rsid w:val="621814F9"/>
    <w:rsid w:val="633920DE"/>
    <w:rsid w:val="63AF9A5F"/>
    <w:rsid w:val="63B7F68D"/>
    <w:rsid w:val="65372348"/>
    <w:rsid w:val="6624A7CC"/>
    <w:rsid w:val="66C2AA9A"/>
    <w:rsid w:val="67196CB2"/>
    <w:rsid w:val="677F0957"/>
    <w:rsid w:val="67D3628E"/>
    <w:rsid w:val="6845C626"/>
    <w:rsid w:val="6869EB92"/>
    <w:rsid w:val="6880F64F"/>
    <w:rsid w:val="68CA9865"/>
    <w:rsid w:val="691F3407"/>
    <w:rsid w:val="6925C29B"/>
    <w:rsid w:val="69985A9F"/>
    <w:rsid w:val="6B3A3FF3"/>
    <w:rsid w:val="6BF00989"/>
    <w:rsid w:val="6C7BBDC1"/>
    <w:rsid w:val="6CFDB244"/>
    <w:rsid w:val="6EF9786A"/>
    <w:rsid w:val="6F4546C6"/>
    <w:rsid w:val="6FF6432B"/>
    <w:rsid w:val="70011E25"/>
    <w:rsid w:val="70A778FE"/>
    <w:rsid w:val="71335014"/>
    <w:rsid w:val="718B998D"/>
    <w:rsid w:val="71D81D86"/>
    <w:rsid w:val="7258717E"/>
    <w:rsid w:val="725A2DEA"/>
    <w:rsid w:val="728DA70C"/>
    <w:rsid w:val="7299B708"/>
    <w:rsid w:val="72BF5937"/>
    <w:rsid w:val="72C7AC97"/>
    <w:rsid w:val="73737251"/>
    <w:rsid w:val="73FAA308"/>
    <w:rsid w:val="744D6F9F"/>
    <w:rsid w:val="7452E40F"/>
    <w:rsid w:val="75682349"/>
    <w:rsid w:val="759F947C"/>
    <w:rsid w:val="75D71245"/>
    <w:rsid w:val="76C1C189"/>
    <w:rsid w:val="76F9F5B9"/>
    <w:rsid w:val="772F4DDC"/>
    <w:rsid w:val="784270AA"/>
    <w:rsid w:val="784DCA91"/>
    <w:rsid w:val="78A0612F"/>
    <w:rsid w:val="79351855"/>
    <w:rsid w:val="7A561A1F"/>
    <w:rsid w:val="7AD2B31D"/>
    <w:rsid w:val="7AD7571A"/>
    <w:rsid w:val="7B6DC0A9"/>
    <w:rsid w:val="7B9CBB74"/>
    <w:rsid w:val="7BBDA6B9"/>
    <w:rsid w:val="7BDC3F23"/>
    <w:rsid w:val="7BE762A3"/>
    <w:rsid w:val="7C696228"/>
    <w:rsid w:val="7C8AC938"/>
    <w:rsid w:val="7C9D4308"/>
    <w:rsid w:val="7CA93CAB"/>
    <w:rsid w:val="7D365AF1"/>
    <w:rsid w:val="7D7E34EC"/>
    <w:rsid w:val="7E4DDAE9"/>
    <w:rsid w:val="7F19DB79"/>
    <w:rsid w:val="7F50EA3E"/>
    <w:rsid w:val="7FADC6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7860"/>
  <w15:chartTrackingRefBased/>
  <w15:docId w15:val="{7585CF0A-33B0-4801-9930-9AA5CDE5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A4"/>
    <w:pPr>
      <w:spacing w:before="240" w:after="480" w:line="360" w:lineRule="auto"/>
    </w:pPr>
    <w:rPr>
      <w:rFonts w:ascii="Arial" w:hAnsi="Arial"/>
      <w:kern w:val="0"/>
      <w:sz w:val="24"/>
      <w14:ligatures w14:val="none"/>
    </w:rPr>
  </w:style>
  <w:style w:type="paragraph" w:styleId="Ttulo1">
    <w:name w:val="heading 1"/>
    <w:basedOn w:val="Normal"/>
    <w:next w:val="Normal"/>
    <w:link w:val="Ttulo1Car"/>
    <w:uiPriority w:val="9"/>
    <w:qFormat/>
    <w:rsid w:val="00AC3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7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7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37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37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7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7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7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7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7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7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7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37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37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7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7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7A4"/>
    <w:rPr>
      <w:rFonts w:eastAsiaTheme="majorEastAsia" w:cstheme="majorBidi"/>
      <w:color w:val="272727" w:themeColor="text1" w:themeTint="D8"/>
    </w:rPr>
  </w:style>
  <w:style w:type="paragraph" w:styleId="Ttulo">
    <w:name w:val="Title"/>
    <w:basedOn w:val="Normal"/>
    <w:next w:val="Normal"/>
    <w:link w:val="TtuloCar"/>
    <w:uiPriority w:val="10"/>
    <w:qFormat/>
    <w:rsid w:val="00AC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7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7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7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7A4"/>
    <w:pPr>
      <w:spacing w:before="160"/>
      <w:jc w:val="center"/>
    </w:pPr>
    <w:rPr>
      <w:i/>
      <w:iCs/>
      <w:color w:val="404040" w:themeColor="text1" w:themeTint="BF"/>
    </w:rPr>
  </w:style>
  <w:style w:type="character" w:customStyle="1" w:styleId="CitaCar">
    <w:name w:val="Cita Car"/>
    <w:basedOn w:val="Fuentedeprrafopredeter"/>
    <w:link w:val="Cita"/>
    <w:uiPriority w:val="29"/>
    <w:rsid w:val="00AC37A4"/>
    <w:rPr>
      <w:i/>
      <w:iCs/>
      <w:color w:val="404040" w:themeColor="text1" w:themeTint="BF"/>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AC37A4"/>
    <w:pPr>
      <w:ind w:left="720"/>
      <w:contextualSpacing/>
    </w:pPr>
  </w:style>
  <w:style w:type="character" w:styleId="nfasisintenso">
    <w:name w:val="Intense Emphasis"/>
    <w:basedOn w:val="Fuentedeprrafopredeter"/>
    <w:uiPriority w:val="21"/>
    <w:qFormat/>
    <w:rsid w:val="00AC37A4"/>
    <w:rPr>
      <w:i/>
      <w:iCs/>
      <w:color w:val="0F4761" w:themeColor="accent1" w:themeShade="BF"/>
    </w:rPr>
  </w:style>
  <w:style w:type="paragraph" w:styleId="Citadestacada">
    <w:name w:val="Intense Quote"/>
    <w:basedOn w:val="Normal"/>
    <w:next w:val="Normal"/>
    <w:link w:val="CitadestacadaCar"/>
    <w:uiPriority w:val="30"/>
    <w:qFormat/>
    <w:rsid w:val="00AC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7A4"/>
    <w:rPr>
      <w:i/>
      <w:iCs/>
      <w:color w:val="0F4761" w:themeColor="accent1" w:themeShade="BF"/>
    </w:rPr>
  </w:style>
  <w:style w:type="character" w:styleId="Referenciaintensa">
    <w:name w:val="Intense Reference"/>
    <w:basedOn w:val="Fuentedeprrafopredeter"/>
    <w:uiPriority w:val="32"/>
    <w:qFormat/>
    <w:rsid w:val="00AC37A4"/>
    <w:rPr>
      <w:b/>
      <w:bCs/>
      <w:smallCaps/>
      <w:color w:val="0F4761" w:themeColor="accent1" w:themeShade="BF"/>
      <w:spacing w:val="5"/>
    </w:rPr>
  </w:style>
  <w:style w:type="paragraph" w:styleId="Encabezado">
    <w:name w:val="header"/>
    <w:basedOn w:val="Normal"/>
    <w:link w:val="EncabezadoCar"/>
    <w:uiPriority w:val="99"/>
    <w:unhideWhenUsed/>
    <w:rsid w:val="00AC3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37A4"/>
    <w:rPr>
      <w:rFonts w:ascii="Arial" w:hAnsi="Arial"/>
      <w:kern w:val="0"/>
      <w:sz w:val="24"/>
      <w14:ligatures w14:val="none"/>
    </w:rPr>
  </w:style>
  <w:style w:type="paragraph" w:styleId="Piedepgina">
    <w:name w:val="footer"/>
    <w:basedOn w:val="Normal"/>
    <w:link w:val="PiedepginaCar"/>
    <w:uiPriority w:val="99"/>
    <w:unhideWhenUsed/>
    <w:qFormat/>
    <w:rsid w:val="00AC37A4"/>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AC37A4"/>
    <w:rPr>
      <w:rFonts w:ascii="Arial" w:hAnsi="Arial"/>
      <w:kern w:val="0"/>
      <w:sz w:val="18"/>
      <w14:ligatures w14:val="none"/>
    </w:rPr>
  </w:style>
  <w:style w:type="table" w:styleId="Tablaconcuadrcula">
    <w:name w:val="Table Grid"/>
    <w:basedOn w:val="Tablanormal"/>
    <w:uiPriority w:val="59"/>
    <w:rsid w:val="00AC37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37A4"/>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C10B9A"/>
  </w:style>
  <w:style w:type="character" w:styleId="Refdecomentario">
    <w:name w:val="annotation reference"/>
    <w:basedOn w:val="Fuentedeprrafopredeter"/>
    <w:uiPriority w:val="99"/>
    <w:semiHidden/>
    <w:unhideWhenUsed/>
    <w:rsid w:val="00C10B9A"/>
    <w:rPr>
      <w:sz w:val="16"/>
      <w:szCs w:val="16"/>
    </w:rPr>
  </w:style>
  <w:style w:type="paragraph" w:styleId="Textocomentario">
    <w:name w:val="annotation text"/>
    <w:basedOn w:val="Normal"/>
    <w:link w:val="TextocomentarioCar"/>
    <w:uiPriority w:val="99"/>
    <w:unhideWhenUsed/>
    <w:rsid w:val="00C10B9A"/>
    <w:pPr>
      <w:spacing w:line="240" w:lineRule="auto"/>
    </w:pPr>
    <w:rPr>
      <w:sz w:val="20"/>
      <w:szCs w:val="20"/>
    </w:rPr>
  </w:style>
  <w:style w:type="character" w:customStyle="1" w:styleId="TextocomentarioCar">
    <w:name w:val="Texto comentario Car"/>
    <w:basedOn w:val="Fuentedeprrafopredeter"/>
    <w:link w:val="Textocomentario"/>
    <w:uiPriority w:val="99"/>
    <w:rsid w:val="00C10B9A"/>
    <w:rPr>
      <w:rFonts w:ascii="Arial" w:hAnsi="Arial"/>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10B9A"/>
    <w:rPr>
      <w:b/>
      <w:bCs/>
    </w:rPr>
  </w:style>
  <w:style w:type="character" w:customStyle="1" w:styleId="AsuntodelcomentarioCar">
    <w:name w:val="Asunto del comentario Car"/>
    <w:basedOn w:val="TextocomentarioCar"/>
    <w:link w:val="Asuntodelcomentario"/>
    <w:uiPriority w:val="99"/>
    <w:semiHidden/>
    <w:rsid w:val="00C10B9A"/>
    <w:rPr>
      <w:rFonts w:ascii="Arial" w:hAnsi="Arial"/>
      <w:b/>
      <w:bCs/>
      <w:kern w:val="0"/>
      <w:sz w:val="20"/>
      <w:szCs w:val="20"/>
      <w14:ligatures w14:val="none"/>
    </w:rPr>
  </w:style>
  <w:style w:type="table" w:customStyle="1" w:styleId="Tablaconcuadrcula1">
    <w:name w:val="Tabla con cuadrícula1"/>
    <w:basedOn w:val="Tablanormal"/>
    <w:next w:val="Tablaconcuadrcula"/>
    <w:uiPriority w:val="59"/>
    <w:rsid w:val="004E18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1671">
      <w:bodyDiv w:val="1"/>
      <w:marLeft w:val="0"/>
      <w:marRight w:val="0"/>
      <w:marTop w:val="0"/>
      <w:marBottom w:val="0"/>
      <w:divBdr>
        <w:top w:val="none" w:sz="0" w:space="0" w:color="auto"/>
        <w:left w:val="none" w:sz="0" w:space="0" w:color="auto"/>
        <w:bottom w:val="none" w:sz="0" w:space="0" w:color="auto"/>
        <w:right w:val="none" w:sz="0" w:space="0" w:color="auto"/>
      </w:divBdr>
    </w:div>
    <w:div w:id="91170761">
      <w:bodyDiv w:val="1"/>
      <w:marLeft w:val="0"/>
      <w:marRight w:val="0"/>
      <w:marTop w:val="0"/>
      <w:marBottom w:val="0"/>
      <w:divBdr>
        <w:top w:val="none" w:sz="0" w:space="0" w:color="auto"/>
        <w:left w:val="none" w:sz="0" w:space="0" w:color="auto"/>
        <w:bottom w:val="none" w:sz="0" w:space="0" w:color="auto"/>
        <w:right w:val="none" w:sz="0" w:space="0" w:color="auto"/>
      </w:divBdr>
    </w:div>
    <w:div w:id="193662449">
      <w:bodyDiv w:val="1"/>
      <w:marLeft w:val="0"/>
      <w:marRight w:val="0"/>
      <w:marTop w:val="0"/>
      <w:marBottom w:val="0"/>
      <w:divBdr>
        <w:top w:val="none" w:sz="0" w:space="0" w:color="auto"/>
        <w:left w:val="none" w:sz="0" w:space="0" w:color="auto"/>
        <w:bottom w:val="none" w:sz="0" w:space="0" w:color="auto"/>
        <w:right w:val="none" w:sz="0" w:space="0" w:color="auto"/>
      </w:divBdr>
    </w:div>
    <w:div w:id="286667928">
      <w:bodyDiv w:val="1"/>
      <w:marLeft w:val="0"/>
      <w:marRight w:val="0"/>
      <w:marTop w:val="0"/>
      <w:marBottom w:val="0"/>
      <w:divBdr>
        <w:top w:val="none" w:sz="0" w:space="0" w:color="auto"/>
        <w:left w:val="none" w:sz="0" w:space="0" w:color="auto"/>
        <w:bottom w:val="none" w:sz="0" w:space="0" w:color="auto"/>
        <w:right w:val="none" w:sz="0" w:space="0" w:color="auto"/>
      </w:divBdr>
    </w:div>
    <w:div w:id="390419743">
      <w:bodyDiv w:val="1"/>
      <w:marLeft w:val="0"/>
      <w:marRight w:val="0"/>
      <w:marTop w:val="0"/>
      <w:marBottom w:val="0"/>
      <w:divBdr>
        <w:top w:val="none" w:sz="0" w:space="0" w:color="auto"/>
        <w:left w:val="none" w:sz="0" w:space="0" w:color="auto"/>
        <w:bottom w:val="none" w:sz="0" w:space="0" w:color="auto"/>
        <w:right w:val="none" w:sz="0" w:space="0" w:color="auto"/>
      </w:divBdr>
      <w:divsChild>
        <w:div w:id="1294210807">
          <w:marLeft w:val="274"/>
          <w:marRight w:val="0"/>
          <w:marTop w:val="0"/>
          <w:marBottom w:val="0"/>
          <w:divBdr>
            <w:top w:val="none" w:sz="0" w:space="0" w:color="auto"/>
            <w:left w:val="none" w:sz="0" w:space="0" w:color="auto"/>
            <w:bottom w:val="none" w:sz="0" w:space="0" w:color="auto"/>
            <w:right w:val="none" w:sz="0" w:space="0" w:color="auto"/>
          </w:divBdr>
        </w:div>
      </w:divsChild>
    </w:div>
    <w:div w:id="504563831">
      <w:bodyDiv w:val="1"/>
      <w:marLeft w:val="0"/>
      <w:marRight w:val="0"/>
      <w:marTop w:val="0"/>
      <w:marBottom w:val="0"/>
      <w:divBdr>
        <w:top w:val="none" w:sz="0" w:space="0" w:color="auto"/>
        <w:left w:val="none" w:sz="0" w:space="0" w:color="auto"/>
        <w:bottom w:val="none" w:sz="0" w:space="0" w:color="auto"/>
        <w:right w:val="none" w:sz="0" w:space="0" w:color="auto"/>
      </w:divBdr>
      <w:divsChild>
        <w:div w:id="1669016420">
          <w:marLeft w:val="446"/>
          <w:marRight w:val="0"/>
          <w:marTop w:val="0"/>
          <w:marBottom w:val="0"/>
          <w:divBdr>
            <w:top w:val="none" w:sz="0" w:space="0" w:color="auto"/>
            <w:left w:val="none" w:sz="0" w:space="0" w:color="auto"/>
            <w:bottom w:val="none" w:sz="0" w:space="0" w:color="auto"/>
            <w:right w:val="none" w:sz="0" w:space="0" w:color="auto"/>
          </w:divBdr>
        </w:div>
      </w:divsChild>
    </w:div>
    <w:div w:id="669598106">
      <w:bodyDiv w:val="1"/>
      <w:marLeft w:val="0"/>
      <w:marRight w:val="0"/>
      <w:marTop w:val="0"/>
      <w:marBottom w:val="0"/>
      <w:divBdr>
        <w:top w:val="none" w:sz="0" w:space="0" w:color="auto"/>
        <w:left w:val="none" w:sz="0" w:space="0" w:color="auto"/>
        <w:bottom w:val="none" w:sz="0" w:space="0" w:color="auto"/>
        <w:right w:val="none" w:sz="0" w:space="0" w:color="auto"/>
      </w:divBdr>
    </w:div>
    <w:div w:id="1608077787">
      <w:bodyDiv w:val="1"/>
      <w:marLeft w:val="0"/>
      <w:marRight w:val="0"/>
      <w:marTop w:val="0"/>
      <w:marBottom w:val="0"/>
      <w:divBdr>
        <w:top w:val="none" w:sz="0" w:space="0" w:color="auto"/>
        <w:left w:val="none" w:sz="0" w:space="0" w:color="auto"/>
        <w:bottom w:val="none" w:sz="0" w:space="0" w:color="auto"/>
        <w:right w:val="none" w:sz="0" w:space="0" w:color="auto"/>
      </w:divBdr>
    </w:div>
    <w:div w:id="1664504103">
      <w:bodyDiv w:val="1"/>
      <w:marLeft w:val="0"/>
      <w:marRight w:val="0"/>
      <w:marTop w:val="0"/>
      <w:marBottom w:val="0"/>
      <w:divBdr>
        <w:top w:val="none" w:sz="0" w:space="0" w:color="auto"/>
        <w:left w:val="none" w:sz="0" w:space="0" w:color="auto"/>
        <w:bottom w:val="none" w:sz="0" w:space="0" w:color="auto"/>
        <w:right w:val="none" w:sz="0" w:space="0" w:color="auto"/>
      </w:divBdr>
      <w:divsChild>
        <w:div w:id="1556969369">
          <w:marLeft w:val="274"/>
          <w:marRight w:val="0"/>
          <w:marTop w:val="0"/>
          <w:marBottom w:val="0"/>
          <w:divBdr>
            <w:top w:val="none" w:sz="0" w:space="0" w:color="auto"/>
            <w:left w:val="none" w:sz="0" w:space="0" w:color="auto"/>
            <w:bottom w:val="none" w:sz="0" w:space="0" w:color="auto"/>
            <w:right w:val="none" w:sz="0" w:space="0" w:color="auto"/>
          </w:divBdr>
        </w:div>
      </w:divsChild>
    </w:div>
    <w:div w:id="2011172167">
      <w:bodyDiv w:val="1"/>
      <w:marLeft w:val="0"/>
      <w:marRight w:val="0"/>
      <w:marTop w:val="0"/>
      <w:marBottom w:val="0"/>
      <w:divBdr>
        <w:top w:val="none" w:sz="0" w:space="0" w:color="auto"/>
        <w:left w:val="none" w:sz="0" w:space="0" w:color="auto"/>
        <w:bottom w:val="none" w:sz="0" w:space="0" w:color="auto"/>
        <w:right w:val="none" w:sz="0" w:space="0" w:color="auto"/>
      </w:divBdr>
    </w:div>
    <w:div w:id="2069761845">
      <w:bodyDiv w:val="1"/>
      <w:marLeft w:val="0"/>
      <w:marRight w:val="0"/>
      <w:marTop w:val="0"/>
      <w:marBottom w:val="0"/>
      <w:divBdr>
        <w:top w:val="none" w:sz="0" w:space="0" w:color="auto"/>
        <w:left w:val="none" w:sz="0" w:space="0" w:color="auto"/>
        <w:bottom w:val="none" w:sz="0" w:space="0" w:color="auto"/>
        <w:right w:val="none" w:sz="0" w:space="0" w:color="auto"/>
      </w:divBdr>
      <w:divsChild>
        <w:div w:id="4559473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GARET\Downloads\Check%20List%20De%20Verificaci&#243;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s-CO" sz="1400" b="0" i="0" u="none" strike="noStrike" kern="1200" cap="none" spc="50" normalizeH="0" baseline="0">
                <a:solidFill>
                  <a:sysClr val="windowText" lastClr="000000">
                    <a:lumMod val="65000"/>
                    <a:lumOff val="35000"/>
                  </a:sysClr>
                </a:solidFill>
              </a:rPr>
              <a:t>Índice de Desempeño Institucional – IDI-. Política de Servicio al Ciudadano</a:t>
            </a:r>
            <a:endParaRPr lang="es-CO"/>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s-CO"/>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Hoja1!$D$3:$G$3</c:f>
              <c:strCache>
                <c:ptCount val="4"/>
                <c:pt idx="0">
                  <c:v>Vigencia 2020-IDI</c:v>
                </c:pt>
                <c:pt idx="1">
                  <c:v>Vigencia 2021-IDI</c:v>
                </c:pt>
                <c:pt idx="2">
                  <c:v>Vigencia 2022-IDI</c:v>
                </c:pt>
                <c:pt idx="3">
                  <c:v>Vigencia 2023-IDI</c:v>
                </c:pt>
              </c:strCache>
            </c:strRef>
          </c:cat>
          <c:val>
            <c:numRef>
              <c:f>Hoja1!$D$4:$G$4</c:f>
              <c:numCache>
                <c:formatCode>General</c:formatCode>
                <c:ptCount val="4"/>
                <c:pt idx="0">
                  <c:v>98</c:v>
                </c:pt>
                <c:pt idx="1">
                  <c:v>99.1</c:v>
                </c:pt>
                <c:pt idx="2">
                  <c:v>93.8</c:v>
                </c:pt>
                <c:pt idx="3">
                  <c:v>84.2</c:v>
                </c:pt>
              </c:numCache>
            </c:numRef>
          </c:val>
          <c:extLst>
            <c:ext xmlns:c16="http://schemas.microsoft.com/office/drawing/2014/chart" uri="{C3380CC4-5D6E-409C-BE32-E72D297353CC}">
              <c16:uniqueId val="{00000000-47B6-43BE-8215-0064614B4F9C}"/>
            </c:ext>
          </c:extLst>
        </c:ser>
        <c:dLbls>
          <c:dLblPos val="inEnd"/>
          <c:showLegendKey val="0"/>
          <c:showVal val="1"/>
          <c:showCatName val="0"/>
          <c:showSerName val="0"/>
          <c:showPercent val="0"/>
          <c:showBubbleSize val="0"/>
        </c:dLbls>
        <c:gapWidth val="80"/>
        <c:overlap val="25"/>
        <c:axId val="1554223728"/>
        <c:axId val="1554214128"/>
      </c:barChart>
      <c:catAx>
        <c:axId val="15542237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85000"/>
                    <a:lumOff val="15000"/>
                  </a:schemeClr>
                </a:solidFill>
                <a:latin typeface="+mn-lt"/>
                <a:ea typeface="+mn-ea"/>
                <a:cs typeface="+mn-cs"/>
              </a:defRPr>
            </a:pPr>
            <a:endParaRPr lang="es-CO"/>
          </a:p>
        </c:txPr>
        <c:crossAx val="1554214128"/>
        <c:crosses val="autoZero"/>
        <c:auto val="1"/>
        <c:lblAlgn val="ctr"/>
        <c:lblOffset val="100"/>
        <c:noMultiLvlLbl val="0"/>
      </c:catAx>
      <c:valAx>
        <c:axId val="15542141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85000"/>
                    <a:lumOff val="15000"/>
                  </a:schemeClr>
                </a:solidFill>
                <a:latin typeface="+mn-lt"/>
                <a:ea typeface="+mn-ea"/>
                <a:cs typeface="+mn-cs"/>
              </a:defRPr>
            </a:pPr>
            <a:endParaRPr lang="es-CO"/>
          </a:p>
        </c:txPr>
        <c:crossAx val="1554223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D3D01-AB7E-406F-A403-0F22F8CE5104}">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2.xml><?xml version="1.0" encoding="utf-8"?>
<ds:datastoreItem xmlns:ds="http://schemas.openxmlformats.org/officeDocument/2006/customXml" ds:itemID="{08E778E4-DD84-4261-B70B-6AB7A228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D0F33-3145-4CC3-AEB1-1DB547DD1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2688</Words>
  <Characters>14790</Characters>
  <Application>Microsoft Office Word</Application>
  <DocSecurity>0</DocSecurity>
  <Lines>123</Lines>
  <Paragraphs>34</Paragraphs>
  <ScaleCrop>false</ScaleCrop>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Licona Castro</dc:creator>
  <cp:keywords/>
  <dc:description/>
  <cp:lastModifiedBy>Laura Valentina Bernal Avila</cp:lastModifiedBy>
  <cp:revision>8</cp:revision>
  <dcterms:created xsi:type="dcterms:W3CDTF">2025-07-10T14:21:00Z</dcterms:created>
  <dcterms:modified xsi:type="dcterms:W3CDTF">2026-05-26T15:55:00Z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