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A1F2" w14:textId="3738587E" w:rsidR="00D8394F" w:rsidRPr="00C46985" w:rsidRDefault="00D8394F" w:rsidP="00C46985">
      <w:pPr>
        <w:spacing w:before="0" w:after="0"/>
        <w:jc w:val="both"/>
        <w:rPr>
          <w:rFonts w:cs="Arial"/>
          <w:b/>
          <w:bCs/>
          <w:i/>
          <w:iCs/>
          <w:color w:val="808080" w:themeColor="background1" w:themeShade="80"/>
          <w:szCs w:val="24"/>
        </w:rPr>
      </w:pPr>
      <w:bookmarkStart w:id="0" w:name="_Hlk76572557"/>
      <w:bookmarkStart w:id="1" w:name="_Hlk76572625"/>
      <w:r w:rsidRPr="00C46985">
        <w:rPr>
          <w:rFonts w:cs="Arial"/>
          <w:b/>
          <w:bCs/>
          <w:i/>
          <w:iCs/>
          <w:color w:val="808080" w:themeColor="background1" w:themeShade="80"/>
          <w:szCs w:val="24"/>
        </w:rPr>
        <w:t>Generalidades</w:t>
      </w:r>
    </w:p>
    <w:p w14:paraId="7006F965" w14:textId="77777777" w:rsidR="00C2314B" w:rsidRPr="00592197" w:rsidRDefault="00C2314B" w:rsidP="00C2314B">
      <w:pPr>
        <w:spacing w:before="0" w:after="0"/>
        <w:rPr>
          <w:rFonts w:cs="Arial"/>
          <w:b/>
          <w:bCs/>
          <w:i/>
          <w:iCs/>
          <w:szCs w:val="24"/>
        </w:rPr>
      </w:pPr>
    </w:p>
    <w:p w14:paraId="41B71284" w14:textId="4F2F069D" w:rsidR="003B7DB0" w:rsidRDefault="003B7DB0" w:rsidP="00380FA5">
      <w:pPr>
        <w:spacing w:before="0" w:after="0"/>
        <w:jc w:val="both"/>
        <w:rPr>
          <w:rFonts w:cs="Arial"/>
          <w:szCs w:val="24"/>
        </w:rPr>
      </w:pPr>
      <w:r w:rsidRPr="003B7DB0">
        <w:rPr>
          <w:rFonts w:cs="Arial"/>
          <w:szCs w:val="24"/>
        </w:rPr>
        <w:t xml:space="preserve">Para la </w:t>
      </w:r>
      <w:r w:rsidR="00FF42EE">
        <w:rPr>
          <w:rFonts w:cs="Arial"/>
          <w:szCs w:val="24"/>
        </w:rPr>
        <w:t>Superintendencia Nacional de Salud</w:t>
      </w:r>
      <w:r w:rsidR="00655871">
        <w:rPr>
          <w:rFonts w:cs="Arial"/>
          <w:szCs w:val="24"/>
        </w:rPr>
        <w:t xml:space="preserve"> (SNS)</w:t>
      </w:r>
      <w:r w:rsidRPr="003B7DB0">
        <w:rPr>
          <w:rFonts w:cs="Arial"/>
          <w:szCs w:val="24"/>
        </w:rPr>
        <w:t xml:space="preserve">, la administración de riesgos constituye una herramienta gerencial para garantizar el cumplimiento de su misión institucional y el desarrollo de sus actividades. Su implementación contribuye al logro de los objetivos definidos en el Plan Estratégico Institucional </w:t>
      </w:r>
      <w:r w:rsidR="00EF1597">
        <w:rPr>
          <w:rFonts w:cs="Arial"/>
          <w:szCs w:val="24"/>
        </w:rPr>
        <w:t xml:space="preserve">y su </w:t>
      </w:r>
      <w:r w:rsidR="00F02668">
        <w:rPr>
          <w:rFonts w:cs="Arial"/>
          <w:szCs w:val="24"/>
        </w:rPr>
        <w:t>despliegue a través de</w:t>
      </w:r>
      <w:r w:rsidRPr="003B7DB0">
        <w:rPr>
          <w:rFonts w:cs="Arial"/>
          <w:szCs w:val="24"/>
        </w:rPr>
        <w:t>l Sistema Integrado de Gestión.</w:t>
      </w:r>
    </w:p>
    <w:p w14:paraId="50647F2A" w14:textId="77777777" w:rsidR="00380FA5" w:rsidRPr="003B7DB0" w:rsidRDefault="00380FA5" w:rsidP="00380FA5">
      <w:pPr>
        <w:spacing w:before="0" w:after="0"/>
        <w:jc w:val="both"/>
        <w:rPr>
          <w:rFonts w:cs="Arial"/>
          <w:szCs w:val="24"/>
        </w:rPr>
      </w:pPr>
    </w:p>
    <w:p w14:paraId="274E3469" w14:textId="07A1AB98" w:rsidR="003B7DB0" w:rsidRDefault="003B7DB0" w:rsidP="00380FA5">
      <w:pPr>
        <w:spacing w:before="0" w:after="0"/>
        <w:jc w:val="both"/>
        <w:rPr>
          <w:rFonts w:cs="Arial"/>
          <w:szCs w:val="24"/>
        </w:rPr>
      </w:pPr>
      <w:r w:rsidRPr="003B7DB0">
        <w:rPr>
          <w:rFonts w:cs="Arial"/>
          <w:szCs w:val="24"/>
        </w:rPr>
        <w:t xml:space="preserve">Dado que los riesgos representan la posibilidad de que ocurran eventos que afecten el normal funcionamiento de los procesos y comprometan el cumplimiento de los objetivos </w:t>
      </w:r>
      <w:r w:rsidR="005727B8">
        <w:rPr>
          <w:rFonts w:cs="Arial"/>
          <w:szCs w:val="24"/>
        </w:rPr>
        <w:t>institucionales</w:t>
      </w:r>
      <w:r w:rsidRPr="003B7DB0">
        <w:rPr>
          <w:rFonts w:cs="Arial"/>
          <w:szCs w:val="24"/>
        </w:rPr>
        <w:t xml:space="preserve">, la </w:t>
      </w:r>
      <w:r w:rsidR="002B696E" w:rsidRPr="00592197">
        <w:rPr>
          <w:rFonts w:cs="Arial"/>
        </w:rPr>
        <w:t xml:space="preserve">Superintendencia Nacional de Salud </w:t>
      </w:r>
      <w:r w:rsidRPr="003B7DB0">
        <w:rPr>
          <w:rFonts w:cs="Arial"/>
          <w:szCs w:val="24"/>
        </w:rPr>
        <w:t>ha fortalecido su enfoque de gestión a partir de los lineamientos del Modelo Integrado de Planeación y Gestión – MIPG. En este marco, se establecen directrices claras para la administración de riesgos, así como los parámetros para el seguimiento y evaluación de la efectividad de los controles.</w:t>
      </w:r>
    </w:p>
    <w:p w14:paraId="150E0D80" w14:textId="77777777" w:rsidR="00380FA5" w:rsidRPr="003B7DB0" w:rsidRDefault="00380FA5" w:rsidP="00380FA5">
      <w:pPr>
        <w:spacing w:before="0" w:after="0"/>
        <w:jc w:val="both"/>
        <w:rPr>
          <w:rFonts w:cs="Arial"/>
          <w:szCs w:val="24"/>
        </w:rPr>
      </w:pPr>
    </w:p>
    <w:p w14:paraId="7E3D6D8B" w14:textId="6BE74040" w:rsidR="003B7DB0" w:rsidRDefault="00672721" w:rsidP="00380FA5">
      <w:pPr>
        <w:spacing w:before="0" w:after="0"/>
        <w:jc w:val="both"/>
        <w:rPr>
          <w:rFonts w:cs="Arial"/>
          <w:szCs w:val="24"/>
        </w:rPr>
      </w:pPr>
      <w:r>
        <w:rPr>
          <w:rFonts w:cs="Arial"/>
          <w:szCs w:val="24"/>
        </w:rPr>
        <w:t xml:space="preserve">Por lo anterior, </w:t>
      </w:r>
      <w:r w:rsidR="003B7DB0" w:rsidRPr="003B7DB0">
        <w:rPr>
          <w:rFonts w:cs="Arial"/>
          <w:szCs w:val="24"/>
        </w:rPr>
        <w:t xml:space="preserve">es necesario definir criterios orientadores para el tratamiento de los riesgos, de manera que se mitiguen sus impactos y se asegure el cumplimiento de los objetivos </w:t>
      </w:r>
      <w:r w:rsidR="00B460A5">
        <w:rPr>
          <w:rFonts w:cs="Arial"/>
          <w:szCs w:val="24"/>
        </w:rPr>
        <w:t>institucionales</w:t>
      </w:r>
      <w:r w:rsidR="003B7DB0" w:rsidRPr="003B7DB0">
        <w:rPr>
          <w:rFonts w:cs="Arial"/>
          <w:szCs w:val="24"/>
        </w:rPr>
        <w:t>. En este sentido, la presente política establece los lineamientos de la Alta Dirección respecto a la gestión de riesgos institucionales en todos los niveles de la entidad, y promueve su apropiación por parte de los funcionarios y contratistas mediante un lenguaje claro y accesible.</w:t>
      </w:r>
    </w:p>
    <w:p w14:paraId="0C4DD156" w14:textId="77777777" w:rsidR="00380FA5" w:rsidRPr="003B7DB0" w:rsidRDefault="00380FA5" w:rsidP="00380FA5">
      <w:pPr>
        <w:spacing w:before="0" w:after="0"/>
        <w:jc w:val="both"/>
        <w:rPr>
          <w:rFonts w:cs="Arial"/>
          <w:szCs w:val="24"/>
        </w:rPr>
      </w:pPr>
    </w:p>
    <w:p w14:paraId="4483B5E2" w14:textId="5A5BA99D" w:rsidR="003B7DB0" w:rsidRPr="003B7DB0" w:rsidRDefault="00705191" w:rsidP="00380FA5">
      <w:pPr>
        <w:spacing w:before="0" w:after="0"/>
        <w:jc w:val="both"/>
        <w:rPr>
          <w:rFonts w:cs="Arial"/>
          <w:szCs w:val="24"/>
        </w:rPr>
      </w:pPr>
      <w:r>
        <w:rPr>
          <w:rFonts w:cs="Arial"/>
          <w:szCs w:val="24"/>
        </w:rPr>
        <w:t>Esta</w:t>
      </w:r>
      <w:r w:rsidR="003B7DB0" w:rsidRPr="003B7DB0">
        <w:rPr>
          <w:rFonts w:cs="Arial"/>
          <w:szCs w:val="24"/>
        </w:rPr>
        <w:t xml:space="preserve"> Política se encuentra alineada con l</w:t>
      </w:r>
      <w:r w:rsidR="00380FA5">
        <w:rPr>
          <w:rFonts w:cs="Arial"/>
          <w:szCs w:val="24"/>
        </w:rPr>
        <w:t>a</w:t>
      </w:r>
      <w:r w:rsidR="003B7DB0" w:rsidRPr="003B7DB0">
        <w:rPr>
          <w:rFonts w:cs="Arial"/>
          <w:szCs w:val="24"/>
        </w:rPr>
        <w:t xml:space="preserve">s </w:t>
      </w:r>
      <w:r w:rsidR="00380FA5">
        <w:rPr>
          <w:rFonts w:cs="Arial"/>
          <w:szCs w:val="24"/>
        </w:rPr>
        <w:t>directrices</w:t>
      </w:r>
      <w:r w:rsidR="003B7DB0" w:rsidRPr="003B7DB0">
        <w:rPr>
          <w:rFonts w:cs="Arial"/>
          <w:szCs w:val="24"/>
        </w:rPr>
        <w:t xml:space="preserve"> de la </w:t>
      </w:r>
      <w:r w:rsidR="003B7DB0" w:rsidRPr="003B7DB0">
        <w:rPr>
          <w:rFonts w:cs="Arial"/>
          <w:i/>
          <w:iCs/>
          <w:szCs w:val="24"/>
        </w:rPr>
        <w:t xml:space="preserve">Guía para la </w:t>
      </w:r>
      <w:r w:rsidR="00D77D27">
        <w:rPr>
          <w:rFonts w:cs="Arial"/>
          <w:i/>
          <w:iCs/>
          <w:szCs w:val="24"/>
        </w:rPr>
        <w:t>gestión integral de riesgos</w:t>
      </w:r>
      <w:r w:rsidR="003B7DB0" w:rsidRPr="003B7DB0">
        <w:rPr>
          <w:rFonts w:cs="Arial"/>
          <w:i/>
          <w:iCs/>
          <w:szCs w:val="24"/>
        </w:rPr>
        <w:t xml:space="preserve"> en entidades públicas</w:t>
      </w:r>
      <w:r w:rsidR="003B7DB0" w:rsidRPr="003B7DB0">
        <w:rPr>
          <w:rFonts w:cs="Arial"/>
          <w:szCs w:val="24"/>
        </w:rPr>
        <w:t xml:space="preserve"> del Departamento Administrativo de la Función Pública (versión </w:t>
      </w:r>
      <w:r w:rsidR="00D77D27">
        <w:rPr>
          <w:rFonts w:cs="Arial"/>
          <w:szCs w:val="24"/>
        </w:rPr>
        <w:t>7</w:t>
      </w:r>
      <w:r w:rsidR="003B7DB0" w:rsidRPr="003B7DB0">
        <w:rPr>
          <w:rFonts w:cs="Arial"/>
          <w:szCs w:val="24"/>
        </w:rPr>
        <w:t>, 202</w:t>
      </w:r>
      <w:r w:rsidR="00D77D27">
        <w:rPr>
          <w:rFonts w:cs="Arial"/>
          <w:szCs w:val="24"/>
        </w:rPr>
        <w:t>5</w:t>
      </w:r>
      <w:r w:rsidR="003B7DB0" w:rsidRPr="003B7DB0">
        <w:rPr>
          <w:rFonts w:cs="Arial"/>
          <w:szCs w:val="24"/>
        </w:rPr>
        <w:t>)</w:t>
      </w:r>
      <w:r w:rsidR="00455F06">
        <w:rPr>
          <w:rFonts w:cs="Arial"/>
          <w:szCs w:val="24"/>
        </w:rPr>
        <w:t xml:space="preserve">, </w:t>
      </w:r>
      <w:r w:rsidR="00934CFD">
        <w:rPr>
          <w:rFonts w:cs="Arial"/>
          <w:szCs w:val="24"/>
        </w:rPr>
        <w:t xml:space="preserve">y </w:t>
      </w:r>
      <w:r w:rsidR="003B7DB0" w:rsidRPr="003B7DB0">
        <w:rPr>
          <w:rFonts w:cs="Arial"/>
          <w:szCs w:val="24"/>
        </w:rPr>
        <w:t>documenta los lineamientos para la gestión de riesgos, así como su fundamento conceptual, orientación estratégica y desarrollo operativo.</w:t>
      </w:r>
    </w:p>
    <w:p w14:paraId="0E178113" w14:textId="0986C774" w:rsidR="006636BF" w:rsidRPr="0011594E" w:rsidRDefault="006636BF" w:rsidP="006636BF">
      <w:pPr>
        <w:spacing w:before="0" w:after="0"/>
        <w:jc w:val="both"/>
        <w:rPr>
          <w:rFonts w:cs="Arial"/>
          <w:b/>
          <w:bCs/>
          <w:i/>
          <w:iCs/>
          <w:color w:val="808080" w:themeColor="background1" w:themeShade="80"/>
          <w:szCs w:val="24"/>
        </w:rPr>
      </w:pPr>
      <w:r w:rsidRPr="0011594E">
        <w:rPr>
          <w:rFonts w:cs="Arial"/>
          <w:b/>
          <w:bCs/>
          <w:i/>
          <w:iCs/>
          <w:color w:val="808080" w:themeColor="background1" w:themeShade="80"/>
          <w:szCs w:val="24"/>
        </w:rPr>
        <w:lastRenderedPageBreak/>
        <w:t>Objetivo de la política</w:t>
      </w:r>
    </w:p>
    <w:p w14:paraId="36BF6170" w14:textId="77777777" w:rsidR="006636BF" w:rsidRPr="00592197" w:rsidRDefault="006636BF" w:rsidP="006636BF">
      <w:pPr>
        <w:spacing w:before="0" w:after="0"/>
        <w:jc w:val="both"/>
        <w:rPr>
          <w:rFonts w:cs="Arial"/>
          <w:b/>
          <w:bCs/>
          <w:i/>
          <w:iCs/>
          <w:szCs w:val="24"/>
        </w:rPr>
      </w:pPr>
    </w:p>
    <w:p w14:paraId="6709CD9E" w14:textId="77777777" w:rsidR="006636BF" w:rsidRDefault="006636BF" w:rsidP="006636BF">
      <w:pPr>
        <w:spacing w:before="0" w:after="0"/>
        <w:jc w:val="both"/>
        <w:rPr>
          <w:rFonts w:cs="Arial"/>
        </w:rPr>
      </w:pPr>
      <w:r w:rsidRPr="00592197">
        <w:rPr>
          <w:rFonts w:cs="Arial"/>
        </w:rPr>
        <w:t>Establecer los lineamientos estratégicos y operativos que orienten la identificación, evaluación, tratamiento, monitoreo y comunicación de los riesgos en la Superintendencia Nacional de Salud que puedan afectar el logro de los objetivos institucionales, en concordancia con el Modelo Integrado de Planeación y Gestión MIPG y las mejores prácticas internacionales de gestión de riesgos.</w:t>
      </w:r>
    </w:p>
    <w:p w14:paraId="7E220E9F" w14:textId="77777777" w:rsidR="006636BF" w:rsidRPr="00592197" w:rsidRDefault="006636BF" w:rsidP="006636BF">
      <w:pPr>
        <w:spacing w:before="0" w:after="0"/>
        <w:jc w:val="both"/>
        <w:rPr>
          <w:rFonts w:cs="Arial"/>
        </w:rPr>
      </w:pPr>
    </w:p>
    <w:p w14:paraId="7B97DD00" w14:textId="77777777" w:rsidR="006636BF" w:rsidRDefault="006636BF" w:rsidP="006636BF">
      <w:pPr>
        <w:spacing w:before="0" w:after="0"/>
        <w:jc w:val="both"/>
        <w:rPr>
          <w:rFonts w:cs="Arial"/>
        </w:rPr>
      </w:pPr>
      <w:r w:rsidRPr="00592197">
        <w:rPr>
          <w:rFonts w:cs="Arial"/>
        </w:rPr>
        <w:t>Esta política tiene como propósito fortalecer la gobernanza, la toma de decisiones informadas, y la generación de valor público, asegurando la integridad, transparencia y eficiencia en la administración de recursos. Igualmente busca promover una cultura organizacional orientada a la anticipación y gestión proactiva de riesgos, contribuyendo al cumplimiento de la misión institucional, la mejora continua y la confianza ciudadana.</w:t>
      </w:r>
    </w:p>
    <w:p w14:paraId="3A171CF0" w14:textId="77777777" w:rsidR="00282656" w:rsidRPr="00592197" w:rsidRDefault="00282656" w:rsidP="006636BF">
      <w:pPr>
        <w:spacing w:before="0" w:after="0"/>
        <w:jc w:val="both"/>
        <w:rPr>
          <w:rFonts w:cs="Arial"/>
        </w:rPr>
      </w:pPr>
    </w:p>
    <w:p w14:paraId="2E6964A9" w14:textId="6FD85660" w:rsidR="007E11A9" w:rsidRPr="003845B8" w:rsidRDefault="007E11A9" w:rsidP="007E11A9">
      <w:pPr>
        <w:rPr>
          <w:rFonts w:cs="Arial"/>
          <w:b/>
          <w:bCs/>
          <w:i/>
          <w:iCs/>
          <w:color w:val="808080" w:themeColor="background1" w:themeShade="80"/>
          <w:szCs w:val="24"/>
        </w:rPr>
      </w:pPr>
      <w:r w:rsidRPr="003845B8">
        <w:rPr>
          <w:rFonts w:cs="Arial"/>
          <w:b/>
          <w:bCs/>
          <w:i/>
          <w:iCs/>
          <w:color w:val="808080" w:themeColor="background1" w:themeShade="80"/>
          <w:szCs w:val="24"/>
        </w:rPr>
        <w:t>Contexto Interno y externo</w:t>
      </w:r>
    </w:p>
    <w:p w14:paraId="6CBEF4C4" w14:textId="77777777" w:rsidR="00DC4483" w:rsidRPr="00DC4483" w:rsidRDefault="00DC4483" w:rsidP="00DC4483">
      <w:pPr>
        <w:spacing w:before="0" w:after="0"/>
        <w:jc w:val="both"/>
        <w:rPr>
          <w:rFonts w:cs="Arial"/>
        </w:rPr>
      </w:pPr>
      <w:r w:rsidRPr="00DC4483">
        <w:rPr>
          <w:rFonts w:cs="Arial"/>
        </w:rPr>
        <w:t>La Superintendencia Nacional de Salud realizó, durante la vigencia 2025, un análisis sistemático y documentado del contexto interno y externo que influye en la gestión integral de los riesgos. A partir de este ejercicio se elaboró el Diagnóstico de Capacidades y Entorno, basado en el estudio de la situación actual de cada una de las dependencias de la entidad.</w:t>
      </w:r>
    </w:p>
    <w:p w14:paraId="19BD2CD7" w14:textId="77777777" w:rsidR="00DC4483" w:rsidRPr="00DC4483" w:rsidRDefault="00DC4483" w:rsidP="00DC4483">
      <w:pPr>
        <w:spacing w:before="0" w:after="0"/>
        <w:jc w:val="both"/>
        <w:rPr>
          <w:rFonts w:cs="Arial"/>
        </w:rPr>
      </w:pPr>
    </w:p>
    <w:p w14:paraId="74C0E522" w14:textId="77777777" w:rsidR="00DC4483" w:rsidRPr="00DC4483" w:rsidRDefault="00DC4483" w:rsidP="00DC4483">
      <w:pPr>
        <w:spacing w:before="0" w:after="0"/>
        <w:jc w:val="both"/>
        <w:rPr>
          <w:rFonts w:cs="Arial"/>
        </w:rPr>
      </w:pPr>
      <w:r w:rsidRPr="00DC4483">
        <w:rPr>
          <w:rFonts w:cs="Arial"/>
        </w:rPr>
        <w:t xml:space="preserve">Este proceso convocó a los líderes de los diferentes procedimientos y a sus equipos de trabajo para reflexionar y responder preguntas estratégicas como: ¿dónde estamos?, ¿de dónde venimos? y ¿hacia dónde queremos avanzar? Esto permitió identificar y visualizar las redes internas y externas de colaboración, las </w:t>
      </w:r>
      <w:r w:rsidRPr="00DC4483">
        <w:rPr>
          <w:rFonts w:cs="Arial"/>
        </w:rPr>
        <w:lastRenderedPageBreak/>
        <w:t>necesidades y brechas organizacionales, los compromisos por cumplir y los requerimientos necesarios para alcanzar las metas y objetivos institucionales.</w:t>
      </w:r>
    </w:p>
    <w:p w14:paraId="5903A92B" w14:textId="77777777" w:rsidR="00DC4483" w:rsidRPr="00DC4483" w:rsidRDefault="00DC4483" w:rsidP="00DC4483">
      <w:pPr>
        <w:spacing w:before="0" w:after="0"/>
        <w:jc w:val="both"/>
        <w:rPr>
          <w:rFonts w:cs="Arial"/>
        </w:rPr>
      </w:pPr>
    </w:p>
    <w:p w14:paraId="272332C7" w14:textId="77777777" w:rsidR="00DC4483" w:rsidRPr="00DC4483" w:rsidRDefault="00DC4483" w:rsidP="00DC4483">
      <w:pPr>
        <w:spacing w:before="0" w:after="0"/>
        <w:jc w:val="both"/>
        <w:rPr>
          <w:rFonts w:cs="Arial"/>
        </w:rPr>
      </w:pPr>
      <w:r w:rsidRPr="00DC4483">
        <w:rPr>
          <w:rFonts w:cs="Arial"/>
        </w:rPr>
        <w:t>El análisis desarrollado posibilitó comprender las condiciones institucionales, normativas, estratégicas, sociales, tecnológicas y operativas que pueden incidir en el cumplimiento de los objetivos, así como reconocer los factores críticos que afectan la exposición al riesgo. Esta comprensión sirve de base para establecer un marco de referencia que oriente la identificación, valoración, tratamiento y seguimiento de los riesgos, garantizando que la Política de Gestión Integral de Riesgos responda de manera pertinente y oportuna a los desafíos del entorno y a las capacidades internas de la organización.</w:t>
      </w:r>
    </w:p>
    <w:p w14:paraId="00A4A57A" w14:textId="77777777" w:rsidR="00DC4483" w:rsidRPr="00DC4483" w:rsidRDefault="00DC4483" w:rsidP="00DC4483">
      <w:pPr>
        <w:spacing w:before="0" w:after="0"/>
        <w:jc w:val="both"/>
        <w:rPr>
          <w:rFonts w:cs="Arial"/>
        </w:rPr>
      </w:pPr>
    </w:p>
    <w:p w14:paraId="0C5FC5A7" w14:textId="77777777" w:rsidR="00DC4483" w:rsidRPr="00DC4483" w:rsidRDefault="00DC4483" w:rsidP="00DC4483">
      <w:pPr>
        <w:spacing w:before="0" w:after="0"/>
        <w:jc w:val="both"/>
        <w:rPr>
          <w:rFonts w:cs="Arial"/>
        </w:rPr>
      </w:pPr>
      <w:r w:rsidRPr="00DC4483">
        <w:rPr>
          <w:rFonts w:cs="Arial"/>
        </w:rPr>
        <w:t>Lo anterior permitió identificar el contexto estratégico interno y externo, el cual se presenta a continuación.</w:t>
      </w:r>
    </w:p>
    <w:p w14:paraId="0196931E" w14:textId="77777777" w:rsidR="00282656" w:rsidRDefault="00282656" w:rsidP="001A74C6">
      <w:pPr>
        <w:spacing w:before="0" w:after="0"/>
        <w:jc w:val="both"/>
        <w:rPr>
          <w:rFonts w:cs="Arial"/>
        </w:rPr>
      </w:pPr>
    </w:p>
    <w:p w14:paraId="587BB688" w14:textId="335922D0" w:rsidR="00931A29" w:rsidRPr="001A74C6" w:rsidRDefault="00931A29" w:rsidP="00931A29">
      <w:pPr>
        <w:pStyle w:val="Descripcin"/>
        <w:rPr>
          <w:rFonts w:cs="Arial"/>
        </w:rPr>
      </w:pPr>
      <w:r>
        <w:t xml:space="preserve">Tabla </w:t>
      </w:r>
      <w:r>
        <w:fldChar w:fldCharType="begin"/>
      </w:r>
      <w:r>
        <w:instrText xml:space="preserve"> SEQ Tabla \* ARABIC </w:instrText>
      </w:r>
      <w:r>
        <w:fldChar w:fldCharType="separate"/>
      </w:r>
      <w:r w:rsidR="00876D49">
        <w:rPr>
          <w:noProof/>
        </w:rPr>
        <w:t>1</w:t>
      </w:r>
      <w:r>
        <w:fldChar w:fldCharType="end"/>
      </w:r>
      <w:r>
        <w:t>. Análisis de Contexto Interno y Externo</w:t>
      </w:r>
    </w:p>
    <w:tbl>
      <w:tblPr>
        <w:tblW w:w="5921" w:type="pct"/>
        <w:jc w:val="center"/>
        <w:tblCellMar>
          <w:left w:w="70" w:type="dxa"/>
          <w:right w:w="70" w:type="dxa"/>
        </w:tblCellMar>
        <w:tblLook w:val="04A0" w:firstRow="1" w:lastRow="0" w:firstColumn="1" w:lastColumn="0" w:noHBand="0" w:noVBand="1"/>
      </w:tblPr>
      <w:tblGrid>
        <w:gridCol w:w="5273"/>
        <w:gridCol w:w="5181"/>
      </w:tblGrid>
      <w:tr w:rsidR="007E11A9" w:rsidRPr="00C1309D" w14:paraId="5A8BD7FB" w14:textId="77777777" w:rsidTr="00B85303">
        <w:trPr>
          <w:trHeight w:val="288"/>
          <w:tblHeader/>
          <w:jc w:val="center"/>
        </w:trPr>
        <w:tc>
          <w:tcPr>
            <w:tcW w:w="2522"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1C477C71" w14:textId="77777777" w:rsidR="007E11A9" w:rsidRPr="00C1309D" w:rsidRDefault="007E11A9" w:rsidP="00B85303">
            <w:pPr>
              <w:spacing w:before="0" w:after="0" w:line="240" w:lineRule="auto"/>
              <w:jc w:val="center"/>
              <w:rPr>
                <w:rFonts w:eastAsia="Times New Roman" w:cs="Arial"/>
                <w:b/>
                <w:bCs/>
                <w:color w:val="FFFFFF"/>
                <w:sz w:val="22"/>
                <w:lang w:eastAsia="es-CO"/>
              </w:rPr>
            </w:pPr>
            <w:r w:rsidRPr="00C1309D">
              <w:rPr>
                <w:rFonts w:eastAsia="Times New Roman" w:cs="Arial"/>
                <w:b/>
                <w:bCs/>
                <w:color w:val="FFFFFF"/>
                <w:sz w:val="22"/>
                <w:lang w:eastAsia="es-CO"/>
              </w:rPr>
              <w:t>Contexto Externo</w:t>
            </w:r>
          </w:p>
        </w:tc>
        <w:tc>
          <w:tcPr>
            <w:tcW w:w="2478"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7D7DB4BE" w14:textId="77777777" w:rsidR="007E11A9" w:rsidRPr="00C1309D" w:rsidRDefault="007E11A9" w:rsidP="00B85303">
            <w:pPr>
              <w:spacing w:before="0" w:after="0" w:line="240" w:lineRule="auto"/>
              <w:jc w:val="center"/>
              <w:rPr>
                <w:rFonts w:eastAsia="Times New Roman" w:cs="Arial"/>
                <w:b/>
                <w:bCs/>
                <w:color w:val="FFFFFF"/>
                <w:sz w:val="22"/>
                <w:lang w:eastAsia="es-CO"/>
              </w:rPr>
            </w:pPr>
            <w:r w:rsidRPr="00C1309D">
              <w:rPr>
                <w:rFonts w:eastAsia="Times New Roman" w:cs="Arial"/>
                <w:b/>
                <w:bCs/>
                <w:color w:val="FFFFFF"/>
                <w:sz w:val="22"/>
                <w:lang w:eastAsia="es-CO"/>
              </w:rPr>
              <w:t>Contexto Interno</w:t>
            </w:r>
          </w:p>
        </w:tc>
      </w:tr>
      <w:tr w:rsidR="007E11A9" w:rsidRPr="00C1309D" w14:paraId="3964E7C5" w14:textId="77777777" w:rsidTr="00B85303">
        <w:trPr>
          <w:trHeight w:val="2999"/>
          <w:jc w:val="center"/>
        </w:trPr>
        <w:tc>
          <w:tcPr>
            <w:tcW w:w="2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E994DF"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Presión por garantizar el derecho a la salud universal y de calidad</w:t>
            </w:r>
            <w:r w:rsidRPr="00282656">
              <w:rPr>
                <w:rFonts w:eastAsia="Symbol" w:cs="Arial"/>
                <w:color w:val="000000"/>
                <w:sz w:val="22"/>
                <w:lang w:eastAsia="es-CO"/>
              </w:rPr>
              <w:t xml:space="preserve">: </w:t>
            </w:r>
          </w:p>
          <w:p w14:paraId="3900FCF0" w14:textId="5A09A2BB"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 xml:space="preserve">El </w:t>
            </w:r>
            <w:r w:rsidR="00F30E1C" w:rsidRPr="00F30E1C">
              <w:rPr>
                <w:rFonts w:eastAsia="Symbol" w:cs="Arial"/>
                <w:color w:val="000000"/>
                <w:sz w:val="22"/>
                <w:lang w:eastAsia="es-CO"/>
              </w:rPr>
              <w:t xml:space="preserve">Sistema General de Seguridad Social en Salud en Salud </w:t>
            </w:r>
            <w:r w:rsidR="00F30E1C">
              <w:rPr>
                <w:rFonts w:eastAsia="Symbol" w:cs="Arial"/>
                <w:color w:val="000000"/>
                <w:sz w:val="22"/>
                <w:lang w:eastAsia="es-CO"/>
              </w:rPr>
              <w:t xml:space="preserve">- </w:t>
            </w:r>
            <w:r w:rsidRPr="00282656">
              <w:rPr>
                <w:rFonts w:eastAsia="Symbol" w:cs="Arial"/>
                <w:color w:val="000000"/>
                <w:sz w:val="22"/>
                <w:lang w:eastAsia="es-CO"/>
              </w:rPr>
              <w:t>SGSSS debe garantizar acceso efectivo, calidad, oportunidad y cobertura. La SNS tiene la responsabilidad de asegurar que EPS (aseguradoras) e IPS (prestadores) cumplan esas condiciones.</w:t>
            </w:r>
          </w:p>
        </w:tc>
        <w:tc>
          <w:tcPr>
            <w:tcW w:w="24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4596D"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Funciones amplias y multifacéticas:</w:t>
            </w:r>
            <w:r w:rsidRPr="00282656">
              <w:rPr>
                <w:rFonts w:eastAsia="Symbol" w:cs="Arial"/>
                <w:color w:val="000000"/>
                <w:sz w:val="22"/>
                <w:lang w:eastAsia="es-CO"/>
              </w:rPr>
              <w:t xml:space="preserve"> </w:t>
            </w:r>
          </w:p>
          <w:p w14:paraId="3A17AD6C"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La SNS tiene un mandato muy extenso: inspección, vigilancia, control normativo, vigilancia de riesgos, supervisión financiera y administrativa, control de calidad de servicios, habilitación/ revocación de EPS/IPS, sanciones, control del uso de recursos, protección al usuario, rendición de cuentas, etc.</w:t>
            </w:r>
          </w:p>
        </w:tc>
      </w:tr>
      <w:tr w:rsidR="007E11A9" w:rsidRPr="00C1309D" w14:paraId="7E537B5F" w14:textId="77777777" w:rsidTr="00B85303">
        <w:trPr>
          <w:trHeight w:val="3335"/>
          <w:jc w:val="center"/>
        </w:trPr>
        <w:tc>
          <w:tcPr>
            <w:tcW w:w="2522" w:type="pct"/>
            <w:tcBorders>
              <w:top w:val="single" w:sz="4" w:space="0" w:color="auto"/>
              <w:left w:val="single" w:sz="4" w:space="0" w:color="auto"/>
              <w:bottom w:val="single" w:sz="4" w:space="0" w:color="auto"/>
              <w:right w:val="single" w:sz="4" w:space="0" w:color="auto"/>
            </w:tcBorders>
            <w:vAlign w:val="center"/>
            <w:hideMark/>
          </w:tcPr>
          <w:p w14:paraId="6F1C3ABE"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lastRenderedPageBreak/>
              <w:t>Riesgos sistémicos del sector salud:</w:t>
            </w:r>
            <w:r w:rsidRPr="00282656">
              <w:rPr>
                <w:rFonts w:eastAsia="Symbol" w:cs="Arial"/>
                <w:color w:val="000000"/>
                <w:sz w:val="22"/>
                <w:lang w:eastAsia="es-CO"/>
              </w:rPr>
              <w:t xml:space="preserve"> </w:t>
            </w:r>
          </w:p>
          <w:p w14:paraId="2906847C"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Dado que el sistema de salud involucra múltiples actores (EPS, prestadores públicos/privados, aseguramiento, recursos públicos, regímenes contributivos/subsidiado, entes territoriales, etc.), hay riesgos financieros, administrativos, de calidad, inequidades, corrupción, fallas en prestación — lo que demanda una vigilancia robusta. La SNS tiene mandato legal para supervisar esos riesgos.</w:t>
            </w:r>
          </w:p>
        </w:tc>
        <w:tc>
          <w:tcPr>
            <w:tcW w:w="2478" w:type="pct"/>
            <w:tcBorders>
              <w:top w:val="single" w:sz="4" w:space="0" w:color="auto"/>
              <w:left w:val="single" w:sz="4" w:space="0" w:color="auto"/>
              <w:bottom w:val="single" w:sz="4" w:space="0" w:color="auto"/>
              <w:right w:val="single" w:sz="4" w:space="0" w:color="auto"/>
            </w:tcBorders>
            <w:vAlign w:val="center"/>
            <w:hideMark/>
          </w:tcPr>
          <w:p w14:paraId="7A154D74"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Capacidad institucional y operativa:</w:t>
            </w:r>
            <w:r w:rsidRPr="00282656">
              <w:rPr>
                <w:rFonts w:eastAsia="Symbol" w:cs="Arial"/>
                <w:color w:val="000000"/>
                <w:sz w:val="22"/>
                <w:lang w:eastAsia="es-CO"/>
              </w:rPr>
              <w:t xml:space="preserve"> </w:t>
            </w:r>
          </w:p>
          <w:p w14:paraId="1E495520"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Para cumplir esas funciones requiere personal calificado, estructuras de control, sistemas de información, interoperabilidad, canales de denuncias, seguimiento, auditoría, coordinación interinstitucional.</w:t>
            </w:r>
          </w:p>
        </w:tc>
      </w:tr>
      <w:tr w:rsidR="007E11A9" w:rsidRPr="00C1309D" w14:paraId="6ECAC76C" w14:textId="77777777" w:rsidTr="00B85303">
        <w:trPr>
          <w:trHeight w:val="2622"/>
          <w:jc w:val="center"/>
        </w:trPr>
        <w:tc>
          <w:tcPr>
            <w:tcW w:w="2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B0E80A"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Normativa compleja y cambiante:</w:t>
            </w:r>
            <w:r w:rsidRPr="00282656">
              <w:rPr>
                <w:rFonts w:eastAsia="Symbol" w:cs="Arial"/>
                <w:color w:val="000000"/>
                <w:sz w:val="22"/>
                <w:lang w:eastAsia="es-CO"/>
              </w:rPr>
              <w:t xml:space="preserve"> </w:t>
            </w:r>
          </w:p>
          <w:p w14:paraId="14C2C3A4"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Las leyes que regulan el sector salud (aseguramiento, prestación, derechos, regulaciones financieras, calidad) implican que la SNS debe mantenerse actualizada y ejercer control sobre múltiples dimensiones: administrativa, financiera, jurídica, técnica.</w:t>
            </w:r>
          </w:p>
        </w:tc>
        <w:tc>
          <w:tcPr>
            <w:tcW w:w="24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D835A9"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Misión orientada a derechos y protección del usuario:</w:t>
            </w:r>
            <w:r w:rsidRPr="00282656">
              <w:rPr>
                <w:rFonts w:eastAsia="Symbol" w:cs="Arial"/>
                <w:color w:val="000000"/>
                <w:sz w:val="22"/>
                <w:lang w:eastAsia="es-CO"/>
              </w:rPr>
              <w:t xml:space="preserve"> </w:t>
            </w:r>
          </w:p>
          <w:p w14:paraId="178F4806"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La estrategia institucional debe priorizar la defensa de derechos de los afiliados: aseguramiento, calidad, acceso, transparencia. Esto demanda mecanismos de supervisión, sanción, reparación, seguimiento.</w:t>
            </w:r>
          </w:p>
        </w:tc>
      </w:tr>
      <w:tr w:rsidR="007E11A9" w:rsidRPr="00C1309D" w14:paraId="55D0574B" w14:textId="77777777" w:rsidTr="00B85303">
        <w:trPr>
          <w:trHeight w:val="2882"/>
          <w:jc w:val="center"/>
        </w:trPr>
        <w:tc>
          <w:tcPr>
            <w:tcW w:w="2522" w:type="pct"/>
            <w:tcBorders>
              <w:top w:val="single" w:sz="4" w:space="0" w:color="auto"/>
              <w:left w:val="single" w:sz="4" w:space="0" w:color="auto"/>
              <w:bottom w:val="single" w:sz="4" w:space="0" w:color="auto"/>
              <w:right w:val="single" w:sz="4" w:space="0" w:color="auto"/>
            </w:tcBorders>
            <w:vAlign w:val="center"/>
            <w:hideMark/>
          </w:tcPr>
          <w:p w14:paraId="745171BE"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Expectativas ciudadanas y demanda de control de derechos</w:t>
            </w:r>
            <w:r w:rsidRPr="00282656">
              <w:rPr>
                <w:rFonts w:eastAsia="Symbol" w:cs="Arial"/>
                <w:color w:val="000000"/>
                <w:sz w:val="22"/>
                <w:lang w:eastAsia="es-CO"/>
              </w:rPr>
              <w:t xml:space="preserve">: </w:t>
            </w:r>
          </w:p>
          <w:p w14:paraId="73857B6F"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Hay una demanda social creciente para que los usuarios reclamen sus derechos: acceso efectivo, cumplimiento de plan de beneficios, atención digna, transparencia. La SNS debe responder ante las quejas, denuncias, garantías de usuario, tutela de derechos.</w:t>
            </w:r>
          </w:p>
        </w:tc>
        <w:tc>
          <w:tcPr>
            <w:tcW w:w="2478" w:type="pct"/>
            <w:tcBorders>
              <w:top w:val="single" w:sz="4" w:space="0" w:color="auto"/>
              <w:left w:val="single" w:sz="4" w:space="0" w:color="auto"/>
              <w:bottom w:val="single" w:sz="4" w:space="0" w:color="auto"/>
              <w:right w:val="single" w:sz="4" w:space="0" w:color="auto"/>
            </w:tcBorders>
            <w:vAlign w:val="center"/>
            <w:hideMark/>
          </w:tcPr>
          <w:p w14:paraId="62DD4370"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Capacidad de supervisión regulatoria y sancionatoria:</w:t>
            </w:r>
            <w:r w:rsidRPr="00282656">
              <w:rPr>
                <w:rFonts w:eastAsia="Symbol" w:cs="Arial"/>
                <w:color w:val="000000"/>
                <w:sz w:val="22"/>
                <w:lang w:eastAsia="es-CO"/>
              </w:rPr>
              <w:t xml:space="preserve"> </w:t>
            </w:r>
          </w:p>
          <w:p w14:paraId="5D71121A"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La SNS tiene facultades para imponer sanciones, intervenir entidades cuando incumplen, revocar habilitaciones, ordenar correcciones, hacer seguimiento contable, etc.</w:t>
            </w:r>
          </w:p>
        </w:tc>
      </w:tr>
      <w:tr w:rsidR="007E11A9" w:rsidRPr="00C1309D" w14:paraId="0052493F" w14:textId="77777777" w:rsidTr="00B929F2">
        <w:trPr>
          <w:trHeight w:val="2837"/>
          <w:jc w:val="center"/>
        </w:trPr>
        <w:tc>
          <w:tcPr>
            <w:tcW w:w="2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B1CF02"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lastRenderedPageBreak/>
              <w:t>Interdependencia institucional:</w:t>
            </w:r>
            <w:r w:rsidRPr="00282656">
              <w:rPr>
                <w:rFonts w:eastAsia="Symbol" w:cs="Arial"/>
                <w:color w:val="000000"/>
                <w:sz w:val="22"/>
                <w:lang w:eastAsia="es-CO"/>
              </w:rPr>
              <w:t xml:space="preserve"> </w:t>
            </w:r>
          </w:p>
          <w:p w14:paraId="245F55BF"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El SGSSS no depende sólo de la SNS: hay aseguradoras, prestadores, regulaciones de financiación (por ejemplo, fondos públicos, aseguramiento, subsidios), entes territoriales, demás entidades de control. La SNS debe coordinar con otras autoridades para controlar eficazmente.</w:t>
            </w:r>
          </w:p>
        </w:tc>
        <w:tc>
          <w:tcPr>
            <w:tcW w:w="24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6947F1"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Necesidad de coordinación interinstitucional:</w:t>
            </w:r>
            <w:r w:rsidRPr="00282656">
              <w:rPr>
                <w:rFonts w:eastAsia="Symbol" w:cs="Arial"/>
                <w:color w:val="000000"/>
                <w:sz w:val="22"/>
                <w:lang w:eastAsia="es-CO"/>
              </w:rPr>
              <w:t xml:space="preserve"> </w:t>
            </w:r>
          </w:p>
          <w:p w14:paraId="79F9D44B"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Dado que el sistema de salud es complejo y multifactorial, la SNS debe coordinar con otras entidades (aseguradoras, prestadores, entes territoriales, entidades reguladoras) para ejercer su función de control.</w:t>
            </w:r>
          </w:p>
        </w:tc>
      </w:tr>
      <w:tr w:rsidR="007E11A9" w:rsidRPr="00C1309D" w14:paraId="65B8711D" w14:textId="77777777" w:rsidTr="00B85303">
        <w:trPr>
          <w:trHeight w:val="3194"/>
          <w:jc w:val="center"/>
        </w:trPr>
        <w:tc>
          <w:tcPr>
            <w:tcW w:w="2522" w:type="pct"/>
            <w:tcBorders>
              <w:top w:val="single" w:sz="4" w:space="0" w:color="auto"/>
              <w:left w:val="single" w:sz="4" w:space="0" w:color="auto"/>
              <w:bottom w:val="single" w:sz="4" w:space="0" w:color="auto"/>
              <w:right w:val="single" w:sz="4" w:space="0" w:color="auto"/>
            </w:tcBorders>
            <w:vAlign w:val="center"/>
            <w:hideMark/>
          </w:tcPr>
          <w:p w14:paraId="6FD09D12"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Desafíos estructurales del sistema de salud nacional:</w:t>
            </w:r>
            <w:r w:rsidRPr="00282656">
              <w:rPr>
                <w:rFonts w:eastAsia="Symbol" w:cs="Arial"/>
                <w:color w:val="000000"/>
                <w:sz w:val="22"/>
                <w:lang w:eastAsia="es-CO"/>
              </w:rPr>
              <w:t xml:space="preserve"> </w:t>
            </w:r>
          </w:p>
          <w:p w14:paraId="3126BBAB"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Problemas de financiamiento, inequidades, saturación de servicios, barreras de acceso, ineficiencias, rezagos en prestación, lo que intensifica la necesidad de supervisión y regulación — incrementando la carga institucional y la exigencia de resultados de la SNS.</w:t>
            </w:r>
          </w:p>
        </w:tc>
        <w:tc>
          <w:tcPr>
            <w:tcW w:w="2478" w:type="pct"/>
            <w:tcBorders>
              <w:top w:val="single" w:sz="4" w:space="0" w:color="auto"/>
              <w:left w:val="single" w:sz="4" w:space="0" w:color="auto"/>
              <w:bottom w:val="single" w:sz="4" w:space="0" w:color="auto"/>
              <w:right w:val="single" w:sz="4" w:space="0" w:color="auto"/>
            </w:tcBorders>
            <w:vAlign w:val="center"/>
            <w:hideMark/>
          </w:tcPr>
          <w:p w14:paraId="35FA6836" w14:textId="77777777" w:rsidR="007E11A9" w:rsidRPr="00282656" w:rsidRDefault="007E11A9" w:rsidP="00ED064F">
            <w:pPr>
              <w:spacing w:before="0" w:after="0" w:line="240" w:lineRule="auto"/>
              <w:rPr>
                <w:rFonts w:eastAsia="Symbol" w:cs="Arial"/>
                <w:color w:val="000000"/>
                <w:sz w:val="22"/>
                <w:lang w:eastAsia="es-CO"/>
              </w:rPr>
            </w:pPr>
            <w:r w:rsidRPr="00282656">
              <w:rPr>
                <w:rFonts w:eastAsia="Symbol" w:cs="Arial"/>
                <w:b/>
                <w:bCs/>
                <w:color w:val="000000"/>
                <w:sz w:val="22"/>
                <w:lang w:eastAsia="es-CO"/>
              </w:rPr>
              <w:t>Reto de transparencia y rendición de cuentas:</w:t>
            </w:r>
            <w:r w:rsidRPr="00282656">
              <w:rPr>
                <w:rFonts w:eastAsia="Symbol" w:cs="Arial"/>
                <w:color w:val="000000"/>
                <w:sz w:val="22"/>
                <w:lang w:eastAsia="es-CO"/>
              </w:rPr>
              <w:t xml:space="preserve"> </w:t>
            </w:r>
          </w:p>
          <w:p w14:paraId="627CB855" w14:textId="77777777" w:rsidR="007E11A9" w:rsidRPr="00282656" w:rsidRDefault="007E11A9" w:rsidP="00ED064F">
            <w:pPr>
              <w:spacing w:before="0" w:after="0" w:line="240" w:lineRule="auto"/>
              <w:rPr>
                <w:rFonts w:eastAsia="Times New Roman" w:cs="Arial"/>
                <w:color w:val="000000"/>
                <w:sz w:val="22"/>
                <w:lang w:eastAsia="es-CO"/>
              </w:rPr>
            </w:pPr>
            <w:r w:rsidRPr="00282656">
              <w:rPr>
                <w:rFonts w:eastAsia="Symbol" w:cs="Arial"/>
                <w:color w:val="000000"/>
                <w:sz w:val="22"/>
                <w:lang w:eastAsia="es-CO"/>
              </w:rPr>
              <w:t>Parte de su rol incluye supervisar la adecuada administración de recursos del sistema, la transparencia, buen gobierno, información de los actores vigilados y rendición de cuentas.</w:t>
            </w:r>
          </w:p>
        </w:tc>
      </w:tr>
    </w:tbl>
    <w:p w14:paraId="69F676E6" w14:textId="77777777" w:rsidR="00931A29" w:rsidRDefault="00931A29" w:rsidP="00931A29">
      <w:pPr>
        <w:spacing w:before="0" w:after="0"/>
        <w:rPr>
          <w:rFonts w:cs="Arial"/>
          <w:i/>
          <w:iCs/>
          <w:szCs w:val="24"/>
        </w:rPr>
      </w:pPr>
    </w:p>
    <w:p w14:paraId="32597EFC" w14:textId="66732244" w:rsidR="007E11A9" w:rsidRPr="00931A29" w:rsidRDefault="00F5095B" w:rsidP="00931A29">
      <w:pPr>
        <w:spacing w:before="0" w:after="0"/>
        <w:rPr>
          <w:rFonts w:cs="Arial"/>
          <w:i/>
          <w:iCs/>
          <w:sz w:val="18"/>
          <w:szCs w:val="18"/>
        </w:rPr>
      </w:pPr>
      <w:r w:rsidRPr="00931A29">
        <w:rPr>
          <w:rFonts w:cs="Arial"/>
          <w:i/>
          <w:iCs/>
          <w:sz w:val="18"/>
          <w:szCs w:val="18"/>
        </w:rPr>
        <w:t xml:space="preserve">Fuente: </w:t>
      </w:r>
      <w:r w:rsidR="000F47F9" w:rsidRPr="00931A29">
        <w:rPr>
          <w:rFonts w:cs="Arial"/>
          <w:i/>
          <w:iCs/>
          <w:sz w:val="18"/>
          <w:szCs w:val="18"/>
        </w:rPr>
        <w:t>Tomado de</w:t>
      </w:r>
      <w:r w:rsidR="00B929F2" w:rsidRPr="00931A29">
        <w:rPr>
          <w:rFonts w:cs="Arial"/>
          <w:i/>
          <w:iCs/>
          <w:sz w:val="18"/>
          <w:szCs w:val="18"/>
        </w:rPr>
        <w:t xml:space="preserve"> Diagnóstico de Capacidades</w:t>
      </w:r>
      <w:r w:rsidR="000F47F9" w:rsidRPr="00931A29">
        <w:rPr>
          <w:rFonts w:cs="Arial"/>
          <w:i/>
          <w:iCs/>
          <w:sz w:val="18"/>
          <w:szCs w:val="18"/>
        </w:rPr>
        <w:t xml:space="preserve"> y Entornos</w:t>
      </w:r>
      <w:r w:rsidR="00B929F2" w:rsidRPr="00931A29">
        <w:rPr>
          <w:rFonts w:cs="Arial"/>
          <w:i/>
          <w:iCs/>
          <w:sz w:val="18"/>
          <w:szCs w:val="18"/>
        </w:rPr>
        <w:t xml:space="preserve"> 2025 – Oficina Asesora de Planeación</w:t>
      </w:r>
      <w:r w:rsidR="006B005C" w:rsidRPr="00931A29">
        <w:rPr>
          <w:rFonts w:cs="Arial"/>
          <w:i/>
          <w:iCs/>
          <w:sz w:val="18"/>
          <w:szCs w:val="18"/>
        </w:rPr>
        <w:t xml:space="preserve"> </w:t>
      </w:r>
      <w:hyperlink r:id="rId12" w:history="1">
        <w:r w:rsidR="006B005C" w:rsidRPr="00931A29">
          <w:rPr>
            <w:rStyle w:val="Hipervnculo"/>
            <w:rFonts w:cs="Arial"/>
            <w:i/>
            <w:iCs/>
            <w:sz w:val="18"/>
            <w:szCs w:val="18"/>
          </w:rPr>
          <w:t>https://docs.supersalud.gov.co/PortalWeb/planeacion/OtrosDocumentosPlaneacin/Diagnostico-Capacidades-Entorno-Supersalud-2025.pdf</w:t>
        </w:r>
      </w:hyperlink>
    </w:p>
    <w:p w14:paraId="22753074" w14:textId="77777777" w:rsidR="006B005C" w:rsidRDefault="006B005C" w:rsidP="00C2314B">
      <w:pPr>
        <w:rPr>
          <w:rFonts w:cs="Arial"/>
          <w:i/>
          <w:iCs/>
          <w:szCs w:val="24"/>
        </w:rPr>
      </w:pPr>
    </w:p>
    <w:p w14:paraId="1C5838DC" w14:textId="60CA31C7" w:rsidR="00A7258D" w:rsidRPr="00D549E9" w:rsidRDefault="00D8394F" w:rsidP="008A1303">
      <w:pPr>
        <w:pStyle w:val="Ttulo1"/>
      </w:pPr>
      <w:r w:rsidRPr="00D549E9">
        <w:t xml:space="preserve">Declaratoria </w:t>
      </w:r>
    </w:p>
    <w:p w14:paraId="1536BE21" w14:textId="1BB8BA2E" w:rsidR="002C67E8" w:rsidRDefault="002C67E8" w:rsidP="002C67E8">
      <w:pPr>
        <w:rPr>
          <w:rFonts w:cs="Arial"/>
          <w:b/>
          <w:bCs/>
          <w:i/>
          <w:iCs/>
          <w:szCs w:val="24"/>
        </w:rPr>
      </w:pPr>
      <w:r>
        <w:rPr>
          <w:rFonts w:cs="Arial"/>
          <w:b/>
          <w:bCs/>
          <w:i/>
          <w:iCs/>
          <w:szCs w:val="24"/>
        </w:rPr>
        <w:t>POLÍTICA</w:t>
      </w:r>
      <w:r w:rsidR="001B3A21">
        <w:rPr>
          <w:rFonts w:cs="Arial"/>
          <w:b/>
          <w:bCs/>
          <w:i/>
          <w:iCs/>
          <w:szCs w:val="24"/>
        </w:rPr>
        <w:t xml:space="preserve"> GESTIÓN INTEGRAL DE RIESGOS</w:t>
      </w:r>
    </w:p>
    <w:p w14:paraId="2A77306D" w14:textId="77777777" w:rsidR="00AE7D10" w:rsidRPr="00AE7D10" w:rsidRDefault="00AE7D10" w:rsidP="00AE7D10">
      <w:pPr>
        <w:spacing w:after="0"/>
        <w:jc w:val="both"/>
        <w:rPr>
          <w:rFonts w:cs="Arial"/>
          <w:szCs w:val="24"/>
        </w:rPr>
      </w:pPr>
      <w:r w:rsidRPr="00AE7D10">
        <w:rPr>
          <w:rFonts w:cs="Arial"/>
          <w:szCs w:val="24"/>
        </w:rPr>
        <w:t xml:space="preserve">La Superintendencia Nacional de Salud adopta la gestión integral de riesgos como una herramienta esencial para fortalecer la toma de decisiones, promover la transparencia, mejorar la eficacia institucional y consolidar la confianza ciudadana </w:t>
      </w:r>
      <w:r w:rsidRPr="00AE7D10">
        <w:rPr>
          <w:rFonts w:cs="Arial"/>
          <w:szCs w:val="24"/>
        </w:rPr>
        <w:lastRenderedPageBreak/>
        <w:t>en la protección de los derechos de los usuarios y en la salvaguarda de los recursos del Sistema General de Seguridad Social en Salud.</w:t>
      </w:r>
    </w:p>
    <w:p w14:paraId="39898BE2" w14:textId="77777777" w:rsidR="00AE7D10" w:rsidRPr="00AE7D10" w:rsidRDefault="00AE7D10" w:rsidP="00AE7D10">
      <w:pPr>
        <w:spacing w:after="0"/>
        <w:jc w:val="both"/>
        <w:rPr>
          <w:rFonts w:cs="Arial"/>
          <w:szCs w:val="24"/>
        </w:rPr>
      </w:pPr>
      <w:r w:rsidRPr="00AE7D10">
        <w:rPr>
          <w:rFonts w:cs="Arial"/>
          <w:szCs w:val="24"/>
        </w:rPr>
        <w:t>En este propósito, la entidad orienta la gestión de riesgos hacia la prevención de situaciones que puedan comprometer el adecuado ejercicio de sus funciones misionales y, para tal efecto, se compromete a:</w:t>
      </w:r>
    </w:p>
    <w:p w14:paraId="2EF17B85" w14:textId="77777777" w:rsidR="00AE7D10" w:rsidRPr="00953C68" w:rsidRDefault="00AE7D10" w:rsidP="00953C68">
      <w:pPr>
        <w:spacing w:after="0"/>
        <w:jc w:val="both"/>
        <w:rPr>
          <w:rFonts w:cs="Arial"/>
          <w:szCs w:val="24"/>
        </w:rPr>
      </w:pPr>
    </w:p>
    <w:p w14:paraId="06365ED4" w14:textId="78A9BF57" w:rsidR="006E6097" w:rsidRDefault="006E6097" w:rsidP="00536BAF">
      <w:pPr>
        <w:pStyle w:val="Prrafodelista"/>
        <w:numPr>
          <w:ilvl w:val="0"/>
          <w:numId w:val="4"/>
        </w:numPr>
        <w:spacing w:before="0" w:after="0" w:line="360" w:lineRule="auto"/>
        <w:jc w:val="both"/>
        <w:rPr>
          <w:rFonts w:cs="Arial"/>
          <w:szCs w:val="24"/>
        </w:rPr>
      </w:pPr>
      <w:r w:rsidRPr="00BF4368">
        <w:rPr>
          <w:rFonts w:cs="Arial"/>
          <w:szCs w:val="24"/>
        </w:rPr>
        <w:t>Gestionar los riesgos institucionales, actividades de control y tratamiento de estos, en relación con su apetito por riesgo, de manera integral, articulada y eficiente.</w:t>
      </w:r>
    </w:p>
    <w:p w14:paraId="34E500E5" w14:textId="2F5DAD95" w:rsidR="00BF4368" w:rsidRPr="00BF4368" w:rsidRDefault="00BF4368" w:rsidP="00536BAF">
      <w:pPr>
        <w:pStyle w:val="Prrafodelista"/>
        <w:numPr>
          <w:ilvl w:val="0"/>
          <w:numId w:val="4"/>
        </w:numPr>
        <w:spacing w:before="0" w:after="0" w:line="360" w:lineRule="auto"/>
        <w:jc w:val="both"/>
        <w:rPr>
          <w:rFonts w:cs="Arial"/>
          <w:szCs w:val="24"/>
        </w:rPr>
      </w:pPr>
      <w:r w:rsidRPr="00BF4368">
        <w:rPr>
          <w:rFonts w:cs="Arial"/>
          <w:szCs w:val="24"/>
        </w:rPr>
        <w:t>Proveer los recursos necesarios a fin de satisfacer los requisitos aplicables para una adecuada administración del riesgo institucional.</w:t>
      </w:r>
    </w:p>
    <w:p w14:paraId="2FB89497" w14:textId="77777777" w:rsidR="00FB7471" w:rsidRPr="00E73FE1" w:rsidRDefault="00BF4368" w:rsidP="00536BAF">
      <w:pPr>
        <w:pStyle w:val="Prrafodelista"/>
        <w:numPr>
          <w:ilvl w:val="0"/>
          <w:numId w:val="4"/>
        </w:numPr>
        <w:spacing w:before="0" w:after="0" w:line="360" w:lineRule="auto"/>
        <w:jc w:val="both"/>
        <w:rPr>
          <w:rFonts w:cs="Arial"/>
          <w:szCs w:val="24"/>
        </w:rPr>
      </w:pPr>
      <w:r w:rsidRPr="00BF4368">
        <w:rPr>
          <w:rFonts w:cs="Arial"/>
          <w:szCs w:val="24"/>
        </w:rPr>
        <w:t>Mantener la mejora continua en la gestión integral de los riesgos institucionales y oportunidades</w:t>
      </w:r>
      <w:r w:rsidR="009278B1">
        <w:rPr>
          <w:rFonts w:cs="Arial"/>
          <w:szCs w:val="24"/>
        </w:rPr>
        <w:t xml:space="preserve">, </w:t>
      </w:r>
      <w:r w:rsidR="00FB7471" w:rsidRPr="00E73FE1">
        <w:rPr>
          <w:rFonts w:cs="Arial"/>
          <w:szCs w:val="24"/>
        </w:rPr>
        <w:t>a través de seguimientos y monitoreos planificados y sistemáticos, que apoyen la toma de decisiones, la generación de alertas tempranas y la identificación de riesgos emergentes</w:t>
      </w:r>
      <w:r w:rsidR="00FB7471">
        <w:rPr>
          <w:rFonts w:cs="Arial"/>
          <w:szCs w:val="24"/>
        </w:rPr>
        <w:t xml:space="preserve">, así como </w:t>
      </w:r>
      <w:r w:rsidR="00FB7471" w:rsidRPr="00E73FE1">
        <w:rPr>
          <w:rFonts w:cs="Arial"/>
          <w:szCs w:val="24"/>
        </w:rPr>
        <w:t>la definición y actualización de los criterios, métodos, herramientas y lineamientos para la gestión integral de riesgos institucionales.</w:t>
      </w:r>
    </w:p>
    <w:p w14:paraId="59065090" w14:textId="5E2F3A08" w:rsidR="00F462BE" w:rsidRDefault="00CD62D3" w:rsidP="00536BAF">
      <w:pPr>
        <w:pStyle w:val="Prrafodelista"/>
        <w:numPr>
          <w:ilvl w:val="0"/>
          <w:numId w:val="4"/>
        </w:numPr>
        <w:spacing w:before="0" w:after="0" w:line="360" w:lineRule="auto"/>
        <w:jc w:val="both"/>
        <w:rPr>
          <w:rFonts w:cs="Arial"/>
          <w:szCs w:val="24"/>
        </w:rPr>
      </w:pPr>
      <w:r>
        <w:rPr>
          <w:rFonts w:cs="Arial"/>
          <w:szCs w:val="24"/>
        </w:rPr>
        <w:t>F</w:t>
      </w:r>
      <w:r w:rsidR="00BF4368" w:rsidRPr="00BF4368">
        <w:rPr>
          <w:rFonts w:cs="Arial"/>
          <w:szCs w:val="24"/>
        </w:rPr>
        <w:t xml:space="preserve">omentar la cultura de riesgo y control, en las actuaciones de los </w:t>
      </w:r>
      <w:r w:rsidR="00C97E9B">
        <w:rPr>
          <w:rFonts w:cs="Arial"/>
          <w:szCs w:val="24"/>
        </w:rPr>
        <w:t>colaboradores de</w:t>
      </w:r>
      <w:r w:rsidR="00BF4368" w:rsidRPr="00BF4368">
        <w:rPr>
          <w:rFonts w:cs="Arial"/>
          <w:szCs w:val="24"/>
        </w:rPr>
        <w:t xml:space="preserve"> la Entidad, promoviendo el desarrollo de actividades de seguimiento de manera </w:t>
      </w:r>
      <w:r w:rsidR="00AD256C">
        <w:rPr>
          <w:rFonts w:cs="Arial"/>
          <w:szCs w:val="24"/>
        </w:rPr>
        <w:t>sistemática</w:t>
      </w:r>
      <w:r w:rsidR="00BF4368" w:rsidRPr="00BF4368">
        <w:rPr>
          <w:rFonts w:cs="Arial"/>
          <w:szCs w:val="24"/>
        </w:rPr>
        <w:t xml:space="preserve">, bajo el </w:t>
      </w:r>
      <w:r w:rsidR="00AD256C">
        <w:rPr>
          <w:rFonts w:cs="Arial"/>
          <w:szCs w:val="24"/>
        </w:rPr>
        <w:t>esquema</w:t>
      </w:r>
      <w:r w:rsidR="00BF4368" w:rsidRPr="00BF4368">
        <w:rPr>
          <w:rFonts w:cs="Arial"/>
          <w:szCs w:val="24"/>
        </w:rPr>
        <w:t xml:space="preserve"> de líneas de defensa y los principios de transparencia y ética pública.</w:t>
      </w:r>
    </w:p>
    <w:p w14:paraId="07219022" w14:textId="77777777" w:rsidR="00C73122" w:rsidRDefault="00C73122" w:rsidP="00C73122">
      <w:pPr>
        <w:spacing w:before="0" w:after="0"/>
        <w:jc w:val="both"/>
        <w:rPr>
          <w:rFonts w:cs="Arial"/>
          <w:szCs w:val="24"/>
        </w:rPr>
      </w:pPr>
    </w:p>
    <w:p w14:paraId="0FCB3FB9" w14:textId="1C099696" w:rsidR="00FB089A" w:rsidRDefault="000F360A" w:rsidP="001B3A21">
      <w:pPr>
        <w:rPr>
          <w:rFonts w:cs="Arial"/>
          <w:b/>
          <w:bCs/>
          <w:i/>
          <w:iCs/>
          <w:szCs w:val="24"/>
        </w:rPr>
      </w:pPr>
      <w:r w:rsidRPr="001B3A21">
        <w:rPr>
          <w:rFonts w:cs="Arial"/>
          <w:b/>
          <w:bCs/>
          <w:i/>
          <w:iCs/>
          <w:szCs w:val="24"/>
        </w:rPr>
        <w:t xml:space="preserve">POLÍTICA </w:t>
      </w:r>
      <w:r w:rsidR="00FB089A" w:rsidRPr="001B3A21">
        <w:rPr>
          <w:rFonts w:cs="Arial"/>
          <w:b/>
          <w:bCs/>
          <w:i/>
          <w:iCs/>
          <w:szCs w:val="24"/>
        </w:rPr>
        <w:t>ANTIFRAUDE, ANTICORRUPCIÓN Y ANTISOBORNO</w:t>
      </w:r>
    </w:p>
    <w:p w14:paraId="69666953" w14:textId="20256A8C" w:rsidR="004E733B" w:rsidRPr="004E733B" w:rsidRDefault="004E733B" w:rsidP="004E733B">
      <w:pPr>
        <w:jc w:val="both"/>
        <w:rPr>
          <w:rFonts w:cs="Arial"/>
          <w:szCs w:val="24"/>
        </w:rPr>
      </w:pPr>
      <w:r w:rsidRPr="004E733B">
        <w:rPr>
          <w:rFonts w:cs="Arial"/>
          <w:szCs w:val="24"/>
        </w:rPr>
        <w:t xml:space="preserve">La Superintendencia Nacional de Salud reafirma su compromiso con la promoción de una cultura de integridad, transparencia y conducta ética en todos los niveles de </w:t>
      </w:r>
      <w:r w:rsidRPr="004E733B">
        <w:rPr>
          <w:rFonts w:cs="Arial"/>
          <w:szCs w:val="24"/>
        </w:rPr>
        <w:lastRenderedPageBreak/>
        <w:t>la organización y en el desarrollo de sus funciones.</w:t>
      </w:r>
      <w:r w:rsidR="00BA3935">
        <w:rPr>
          <w:rFonts w:cs="Arial"/>
          <w:szCs w:val="24"/>
        </w:rPr>
        <w:t xml:space="preserve"> </w:t>
      </w:r>
      <w:r w:rsidRPr="004E733B">
        <w:rPr>
          <w:rFonts w:cs="Arial"/>
          <w:szCs w:val="24"/>
        </w:rPr>
        <w:t>Con este propósito, la Entidad establece los compromisos y responsabilidades que deben asumir sus servidores públicos y contratistas frente a los riesgos de fraude, corrupción y soborno, orientando su actuación hacia un enfoque preventivo que permita anticipar, detectar y mitigar cualquier situación que pueda afectar la legalidad, la confianza institucional o el cumplimiento de la misión institucional</w:t>
      </w:r>
      <w:r w:rsidR="00BA3935">
        <w:rPr>
          <w:rFonts w:cs="Arial"/>
          <w:szCs w:val="24"/>
        </w:rPr>
        <w:t xml:space="preserve">. </w:t>
      </w:r>
      <w:r w:rsidRPr="004E733B">
        <w:rPr>
          <w:rFonts w:cs="Arial"/>
          <w:szCs w:val="24"/>
        </w:rPr>
        <w:t>En este sentido, se compromete a:</w:t>
      </w:r>
    </w:p>
    <w:p w14:paraId="53E66FF7" w14:textId="34C77EA8" w:rsidR="00B74A66" w:rsidRPr="00B74A66" w:rsidRDefault="00EC1055" w:rsidP="00536BAF">
      <w:pPr>
        <w:pStyle w:val="Prrafodelista"/>
        <w:numPr>
          <w:ilvl w:val="0"/>
          <w:numId w:val="4"/>
        </w:numPr>
        <w:spacing w:before="0" w:after="0" w:line="360" w:lineRule="auto"/>
        <w:jc w:val="both"/>
        <w:rPr>
          <w:rFonts w:cs="Arial"/>
          <w:szCs w:val="24"/>
        </w:rPr>
      </w:pPr>
      <w:r w:rsidRPr="00B74A66">
        <w:rPr>
          <w:rFonts w:cs="Arial"/>
          <w:szCs w:val="24"/>
        </w:rPr>
        <w:t>Prevenir</w:t>
      </w:r>
      <w:r w:rsidR="00B74A66" w:rsidRPr="00B74A66">
        <w:rPr>
          <w:rFonts w:cs="Arial"/>
          <w:szCs w:val="24"/>
        </w:rPr>
        <w:t>, identificar y abordar todos los actos de fraude</w:t>
      </w:r>
      <w:r w:rsidR="002C32DB">
        <w:rPr>
          <w:rFonts w:cs="Arial"/>
          <w:szCs w:val="24"/>
        </w:rPr>
        <w:t>, soborno</w:t>
      </w:r>
      <w:r w:rsidR="00B74A66" w:rsidRPr="00B74A66">
        <w:rPr>
          <w:rFonts w:cs="Arial"/>
          <w:szCs w:val="24"/>
        </w:rPr>
        <w:t xml:space="preserve"> y corrupción, tanto dentro de la organización como contra </w:t>
      </w:r>
      <w:r w:rsidR="00BD45F7">
        <w:rPr>
          <w:rFonts w:cs="Arial"/>
          <w:szCs w:val="24"/>
        </w:rPr>
        <w:t>la Entidad</w:t>
      </w:r>
      <w:r w:rsidR="00B74A66" w:rsidRPr="00B74A66">
        <w:rPr>
          <w:rFonts w:cs="Arial"/>
          <w:szCs w:val="24"/>
        </w:rPr>
        <w:t xml:space="preserve">, mediante la concientización sobre los riesgos </w:t>
      </w:r>
      <w:r w:rsidR="002C32DB">
        <w:rPr>
          <w:rFonts w:cs="Arial"/>
          <w:szCs w:val="24"/>
        </w:rPr>
        <w:t>asociados</w:t>
      </w:r>
      <w:r w:rsidR="00B74A66" w:rsidRPr="00B74A66">
        <w:rPr>
          <w:rFonts w:cs="Arial"/>
          <w:szCs w:val="24"/>
        </w:rPr>
        <w:t xml:space="preserve">, la </w:t>
      </w:r>
      <w:r w:rsidR="00FC3F3D">
        <w:rPr>
          <w:rFonts w:cs="Arial"/>
          <w:szCs w:val="24"/>
        </w:rPr>
        <w:t>definición e implementación</w:t>
      </w:r>
      <w:r w:rsidR="00B74A66" w:rsidRPr="00B74A66">
        <w:rPr>
          <w:rFonts w:cs="Arial"/>
          <w:szCs w:val="24"/>
        </w:rPr>
        <w:t xml:space="preserve"> de controles internos destinados a prevenir y detectar el fraude y la corrupción, y la aplicación de esta Política.</w:t>
      </w:r>
    </w:p>
    <w:p w14:paraId="339DA655" w14:textId="7A16D680" w:rsidR="00B74A66" w:rsidRPr="00B74A66" w:rsidRDefault="00EC1055" w:rsidP="00536BAF">
      <w:pPr>
        <w:pStyle w:val="Prrafodelista"/>
        <w:numPr>
          <w:ilvl w:val="0"/>
          <w:numId w:val="4"/>
        </w:numPr>
        <w:spacing w:before="0" w:after="0" w:line="360" w:lineRule="auto"/>
        <w:jc w:val="both"/>
        <w:rPr>
          <w:rFonts w:cs="Arial"/>
          <w:szCs w:val="24"/>
        </w:rPr>
      </w:pPr>
      <w:r w:rsidRPr="00B74A66">
        <w:rPr>
          <w:rFonts w:cs="Arial"/>
          <w:szCs w:val="24"/>
        </w:rPr>
        <w:t xml:space="preserve">Tolerancia </w:t>
      </w:r>
      <w:r w:rsidR="00B74A66" w:rsidRPr="00B74A66">
        <w:rPr>
          <w:rFonts w:cs="Arial"/>
          <w:szCs w:val="24"/>
        </w:rPr>
        <w:t>cero hacia cualquier fraude</w:t>
      </w:r>
      <w:r w:rsidR="005C712D">
        <w:rPr>
          <w:rFonts w:cs="Arial"/>
          <w:szCs w:val="24"/>
        </w:rPr>
        <w:t>, soborno</w:t>
      </w:r>
      <w:r w:rsidR="00B74A66" w:rsidRPr="00B74A66">
        <w:rPr>
          <w:rFonts w:cs="Arial"/>
          <w:szCs w:val="24"/>
        </w:rPr>
        <w:t xml:space="preserve"> o corrupción por parte de </w:t>
      </w:r>
      <w:r w:rsidR="005C712D">
        <w:rPr>
          <w:rFonts w:cs="Arial"/>
          <w:szCs w:val="24"/>
        </w:rPr>
        <w:t>sus funcionario</w:t>
      </w:r>
      <w:r w:rsidR="00013A55">
        <w:rPr>
          <w:rFonts w:cs="Arial"/>
          <w:szCs w:val="24"/>
        </w:rPr>
        <w:t>s y</w:t>
      </w:r>
      <w:r w:rsidR="00B74A66" w:rsidRPr="00B74A66">
        <w:rPr>
          <w:rFonts w:cs="Arial"/>
          <w:szCs w:val="24"/>
        </w:rPr>
        <w:t xml:space="preserve"> contratistas </w:t>
      </w:r>
      <w:r w:rsidR="00BE37DA">
        <w:rPr>
          <w:rFonts w:cs="Arial"/>
          <w:szCs w:val="24"/>
        </w:rPr>
        <w:t>en el desarrollo de su</w:t>
      </w:r>
      <w:r w:rsidR="00B74A66" w:rsidRPr="00B74A66">
        <w:rPr>
          <w:rFonts w:cs="Arial"/>
          <w:szCs w:val="24"/>
        </w:rPr>
        <w:t xml:space="preserve"> trabajo.</w:t>
      </w:r>
    </w:p>
    <w:p w14:paraId="09B541B6" w14:textId="4EA8D0B8" w:rsidR="00B74A66" w:rsidRDefault="00BE37DA" w:rsidP="00536BAF">
      <w:pPr>
        <w:pStyle w:val="Prrafodelista"/>
        <w:numPr>
          <w:ilvl w:val="0"/>
          <w:numId w:val="4"/>
        </w:numPr>
        <w:spacing w:before="0" w:after="0" w:line="360" w:lineRule="auto"/>
        <w:jc w:val="both"/>
        <w:rPr>
          <w:rFonts w:cs="Arial"/>
          <w:szCs w:val="24"/>
        </w:rPr>
      </w:pPr>
      <w:r w:rsidRPr="008C6A1C">
        <w:rPr>
          <w:rFonts w:cs="Arial"/>
          <w:szCs w:val="24"/>
        </w:rPr>
        <w:t xml:space="preserve">Fomentar </w:t>
      </w:r>
      <w:r w:rsidR="00E71BE9" w:rsidRPr="008C6A1C">
        <w:rPr>
          <w:rFonts w:cs="Arial"/>
          <w:szCs w:val="24"/>
        </w:rPr>
        <w:t>la denuncia de posibles actos de corrupción o relacionados</w:t>
      </w:r>
      <w:r w:rsidR="00E71BE9" w:rsidRPr="00B74A66">
        <w:rPr>
          <w:rFonts w:cs="Arial"/>
          <w:szCs w:val="24"/>
        </w:rPr>
        <w:t xml:space="preserve"> </w:t>
      </w:r>
      <w:r w:rsidR="00E71BE9">
        <w:rPr>
          <w:rFonts w:cs="Arial"/>
          <w:szCs w:val="24"/>
        </w:rPr>
        <w:t xml:space="preserve">y </w:t>
      </w:r>
      <w:r w:rsidR="00B74A66" w:rsidRPr="00B74A66">
        <w:rPr>
          <w:rFonts w:cs="Arial"/>
          <w:szCs w:val="24"/>
        </w:rPr>
        <w:t>proteger a las personas que denuncian la ocurrencia de fraude</w:t>
      </w:r>
      <w:r w:rsidR="00740A6B">
        <w:rPr>
          <w:rFonts w:cs="Arial"/>
          <w:szCs w:val="24"/>
        </w:rPr>
        <w:t>, soborno</w:t>
      </w:r>
      <w:r w:rsidR="00B74A66" w:rsidRPr="00B74A66">
        <w:rPr>
          <w:rFonts w:cs="Arial"/>
          <w:szCs w:val="24"/>
        </w:rPr>
        <w:t xml:space="preserve"> y corrupción contra represalias.</w:t>
      </w:r>
    </w:p>
    <w:p w14:paraId="22AB1C13" w14:textId="48B2065C" w:rsidR="004C5762" w:rsidRDefault="004C5762" w:rsidP="00536BAF">
      <w:pPr>
        <w:pStyle w:val="Prrafodelista"/>
        <w:numPr>
          <w:ilvl w:val="0"/>
          <w:numId w:val="4"/>
        </w:numPr>
        <w:spacing w:before="0" w:after="0" w:line="360" w:lineRule="auto"/>
        <w:jc w:val="both"/>
        <w:rPr>
          <w:rFonts w:cs="Arial"/>
          <w:szCs w:val="24"/>
        </w:rPr>
      </w:pPr>
      <w:r w:rsidRPr="004C5762">
        <w:rPr>
          <w:rFonts w:cs="Arial"/>
          <w:szCs w:val="24"/>
        </w:rPr>
        <w:t xml:space="preserve">Identificar y declarar oportunamente conflictos </w:t>
      </w:r>
      <w:r w:rsidR="00BA22C8">
        <w:rPr>
          <w:rFonts w:cs="Arial"/>
          <w:szCs w:val="24"/>
        </w:rPr>
        <w:t xml:space="preserve">de interés </w:t>
      </w:r>
      <w:r w:rsidRPr="004C5762">
        <w:rPr>
          <w:rFonts w:cs="Arial"/>
          <w:szCs w:val="24"/>
        </w:rPr>
        <w:t>reales, potenciales o aparentes.</w:t>
      </w:r>
    </w:p>
    <w:p w14:paraId="2136AC64" w14:textId="1CA300CD" w:rsidR="005A4A73" w:rsidRDefault="00F346A7" w:rsidP="00536BAF">
      <w:pPr>
        <w:pStyle w:val="Prrafodelista"/>
        <w:numPr>
          <w:ilvl w:val="0"/>
          <w:numId w:val="4"/>
        </w:numPr>
        <w:spacing w:before="0" w:after="0" w:line="360" w:lineRule="auto"/>
        <w:jc w:val="both"/>
        <w:rPr>
          <w:rFonts w:cs="Arial"/>
          <w:szCs w:val="24"/>
        </w:rPr>
      </w:pPr>
      <w:r>
        <w:rPr>
          <w:rFonts w:cs="Arial"/>
          <w:szCs w:val="24"/>
        </w:rPr>
        <w:t>P</w:t>
      </w:r>
      <w:r w:rsidRPr="00F346A7">
        <w:rPr>
          <w:rFonts w:cs="Arial"/>
          <w:szCs w:val="24"/>
        </w:rPr>
        <w:t>roh</w:t>
      </w:r>
      <w:r>
        <w:rPr>
          <w:rFonts w:cs="Arial"/>
          <w:szCs w:val="24"/>
        </w:rPr>
        <w:t>i</w:t>
      </w:r>
      <w:r w:rsidRPr="00F346A7">
        <w:rPr>
          <w:rFonts w:cs="Arial"/>
          <w:szCs w:val="24"/>
        </w:rPr>
        <w:t>b</w:t>
      </w:r>
      <w:r>
        <w:rPr>
          <w:rFonts w:cs="Arial"/>
          <w:szCs w:val="24"/>
        </w:rPr>
        <w:t>ir</w:t>
      </w:r>
      <w:r w:rsidRPr="00F346A7">
        <w:rPr>
          <w:rFonts w:cs="Arial"/>
          <w:szCs w:val="24"/>
        </w:rPr>
        <w:t xml:space="preserve"> recibir u ofrecer cualquier tipo de regalo, donación, hospitalidad o beneficio en relación con las funciones de los servidores públicos</w:t>
      </w:r>
      <w:r w:rsidR="006851AA">
        <w:rPr>
          <w:rFonts w:cs="Arial"/>
          <w:szCs w:val="24"/>
        </w:rPr>
        <w:t xml:space="preserve"> y contratistas</w:t>
      </w:r>
      <w:r w:rsidRPr="00F346A7">
        <w:rPr>
          <w:rFonts w:cs="Arial"/>
          <w:szCs w:val="24"/>
        </w:rPr>
        <w:t xml:space="preserve"> de la </w:t>
      </w:r>
      <w:r w:rsidR="001E5E1B">
        <w:rPr>
          <w:rFonts w:cs="Arial"/>
          <w:szCs w:val="24"/>
        </w:rPr>
        <w:t>Entidad</w:t>
      </w:r>
      <w:r w:rsidRPr="00F346A7">
        <w:rPr>
          <w:rFonts w:cs="Arial"/>
          <w:szCs w:val="24"/>
        </w:rPr>
        <w:t>, que pudiera razonablemente ser percibido como un soborno.</w:t>
      </w:r>
    </w:p>
    <w:p w14:paraId="184873EC" w14:textId="6D56360A" w:rsidR="00BF4368" w:rsidRDefault="00437F87" w:rsidP="00437F87">
      <w:pPr>
        <w:pStyle w:val="Prrafodelista"/>
        <w:numPr>
          <w:ilvl w:val="0"/>
          <w:numId w:val="4"/>
        </w:numPr>
        <w:spacing w:before="0" w:after="0" w:line="360" w:lineRule="auto"/>
        <w:jc w:val="both"/>
        <w:rPr>
          <w:rFonts w:cs="Arial"/>
          <w:szCs w:val="24"/>
        </w:rPr>
      </w:pPr>
      <w:r w:rsidRPr="00437F87">
        <w:rPr>
          <w:rFonts w:cs="Arial"/>
          <w:szCs w:val="24"/>
        </w:rPr>
        <w:t>Fomentar el estricto cumplimiento de la legislación vigente en materia de prevención y lucha contra el soborno y la corrupción, mediante el establecimiento y la aplicación rigurosa de los procedimientos asociados.</w:t>
      </w:r>
    </w:p>
    <w:p w14:paraId="22AD7EDD" w14:textId="77777777" w:rsidR="00C46985" w:rsidRDefault="00C46985" w:rsidP="00550431">
      <w:pPr>
        <w:spacing w:before="0" w:after="0"/>
        <w:jc w:val="both"/>
        <w:rPr>
          <w:rFonts w:cs="Arial"/>
          <w:b/>
          <w:bCs/>
          <w:szCs w:val="24"/>
        </w:rPr>
      </w:pPr>
    </w:p>
    <w:p w14:paraId="5A5A61B3" w14:textId="574C3C2D" w:rsidR="00550431" w:rsidRDefault="00550431" w:rsidP="00550431">
      <w:pPr>
        <w:spacing w:before="0" w:after="0"/>
        <w:jc w:val="both"/>
        <w:rPr>
          <w:rFonts w:cs="Arial"/>
          <w:szCs w:val="24"/>
        </w:rPr>
      </w:pPr>
      <w:r w:rsidRPr="006E7228">
        <w:rPr>
          <w:rFonts w:cs="Arial"/>
          <w:b/>
          <w:bCs/>
          <w:szCs w:val="24"/>
        </w:rPr>
        <w:lastRenderedPageBreak/>
        <w:t>Nota:</w:t>
      </w:r>
      <w:r w:rsidRPr="006E7228">
        <w:rPr>
          <w:rFonts w:cs="Arial"/>
          <w:szCs w:val="24"/>
        </w:rPr>
        <w:t xml:space="preserve"> Las directrices para el cumplimiento de </w:t>
      </w:r>
      <w:r w:rsidR="009E7C10">
        <w:rPr>
          <w:rFonts w:cs="Arial"/>
          <w:szCs w:val="24"/>
        </w:rPr>
        <w:t>estas</w:t>
      </w:r>
      <w:r w:rsidR="009E7C10" w:rsidRPr="006E7228">
        <w:rPr>
          <w:rFonts w:cs="Arial"/>
          <w:szCs w:val="24"/>
        </w:rPr>
        <w:t xml:space="preserve"> </w:t>
      </w:r>
      <w:r w:rsidRPr="006E7228">
        <w:rPr>
          <w:rFonts w:cs="Arial"/>
          <w:szCs w:val="24"/>
        </w:rPr>
        <w:t>política</w:t>
      </w:r>
      <w:r w:rsidR="009E7C10">
        <w:rPr>
          <w:rFonts w:cs="Arial"/>
          <w:szCs w:val="24"/>
        </w:rPr>
        <w:t>s</w:t>
      </w:r>
      <w:r w:rsidRPr="006E7228">
        <w:rPr>
          <w:rFonts w:cs="Arial"/>
          <w:szCs w:val="24"/>
        </w:rPr>
        <w:t xml:space="preserve"> se operativizan en el Manual Gestión Integral del Riesgo, el Procedimiento Gestión Del Riesgo y su documentación anexa.</w:t>
      </w:r>
    </w:p>
    <w:p w14:paraId="0EDF7F16" w14:textId="77777777" w:rsidR="006454BA" w:rsidRDefault="006454BA" w:rsidP="00550431">
      <w:pPr>
        <w:spacing w:before="0" w:after="0"/>
        <w:jc w:val="both"/>
        <w:rPr>
          <w:rFonts w:cs="Arial"/>
          <w:szCs w:val="24"/>
        </w:rPr>
      </w:pPr>
    </w:p>
    <w:p w14:paraId="72136E62" w14:textId="296AC390" w:rsidR="00A25229" w:rsidRPr="002C3580" w:rsidRDefault="00D8394F" w:rsidP="008A1303">
      <w:pPr>
        <w:pStyle w:val="Ttulo1"/>
      </w:pPr>
      <w:bookmarkStart w:id="2" w:name="_Toc159854085"/>
      <w:bookmarkStart w:id="3" w:name="_Toc159854084"/>
      <w:r w:rsidRPr="002C3580">
        <w:t>Despliegue de la política</w:t>
      </w:r>
    </w:p>
    <w:p w14:paraId="778BD44F" w14:textId="77777777" w:rsidR="00B75E2E" w:rsidRPr="00592197" w:rsidRDefault="00B75E2E" w:rsidP="00B75E2E">
      <w:pPr>
        <w:spacing w:before="0" w:after="0"/>
        <w:rPr>
          <w:rFonts w:cs="Arial"/>
          <w:b/>
          <w:bCs/>
          <w:i/>
          <w:iCs/>
          <w:szCs w:val="24"/>
        </w:rPr>
      </w:pPr>
    </w:p>
    <w:p w14:paraId="05DE3625" w14:textId="4D413BF8" w:rsidR="00D8394F" w:rsidRDefault="00B75E2E" w:rsidP="00B75E2E">
      <w:pPr>
        <w:spacing w:before="0" w:after="0"/>
        <w:jc w:val="both"/>
        <w:rPr>
          <w:rFonts w:cs="Arial"/>
          <w:szCs w:val="24"/>
        </w:rPr>
      </w:pPr>
      <w:r>
        <w:rPr>
          <w:rFonts w:cs="Arial"/>
          <w:szCs w:val="24"/>
        </w:rPr>
        <w:t>L</w:t>
      </w:r>
      <w:r w:rsidRPr="00B75E2E">
        <w:rPr>
          <w:rFonts w:cs="Arial"/>
          <w:szCs w:val="24"/>
        </w:rPr>
        <w:t xml:space="preserve">a </w:t>
      </w:r>
      <w:r w:rsidR="009E7C10" w:rsidRPr="00B75E2E">
        <w:rPr>
          <w:rFonts w:cs="Arial"/>
          <w:szCs w:val="24"/>
        </w:rPr>
        <w:t xml:space="preserve">Política </w:t>
      </w:r>
      <w:r w:rsidR="009E7C10">
        <w:rPr>
          <w:rFonts w:cs="Arial"/>
          <w:szCs w:val="24"/>
        </w:rPr>
        <w:t xml:space="preserve">Gestión </w:t>
      </w:r>
      <w:r w:rsidR="009E7C10" w:rsidRPr="00B75E2E">
        <w:rPr>
          <w:rFonts w:cs="Arial"/>
          <w:szCs w:val="24"/>
        </w:rPr>
        <w:t xml:space="preserve">Integral </w:t>
      </w:r>
      <w:r w:rsidRPr="00B75E2E">
        <w:rPr>
          <w:rFonts w:cs="Arial"/>
          <w:szCs w:val="24"/>
        </w:rPr>
        <w:t xml:space="preserve">de </w:t>
      </w:r>
      <w:r w:rsidR="009E7C10" w:rsidRPr="00B75E2E">
        <w:rPr>
          <w:rFonts w:cs="Arial"/>
          <w:szCs w:val="24"/>
        </w:rPr>
        <w:t xml:space="preserve">Riesgos </w:t>
      </w:r>
      <w:r w:rsidR="008128F6">
        <w:rPr>
          <w:rFonts w:cs="Arial"/>
          <w:szCs w:val="24"/>
        </w:rPr>
        <w:t xml:space="preserve">cuenta </w:t>
      </w:r>
      <w:r w:rsidRPr="00B75E2E">
        <w:rPr>
          <w:rFonts w:cs="Arial"/>
          <w:szCs w:val="24"/>
        </w:rPr>
        <w:t xml:space="preserve">con un </w:t>
      </w:r>
      <w:r w:rsidR="00DE66EC">
        <w:rPr>
          <w:rFonts w:cs="Arial"/>
          <w:szCs w:val="24"/>
        </w:rPr>
        <w:t xml:space="preserve">mecanismo de </w:t>
      </w:r>
      <w:r w:rsidRPr="001A0942">
        <w:rPr>
          <w:rFonts w:cs="Arial"/>
          <w:szCs w:val="24"/>
        </w:rPr>
        <w:t>seguimiento</w:t>
      </w:r>
      <w:r w:rsidRPr="00B75E2E">
        <w:rPr>
          <w:rFonts w:cs="Arial"/>
          <w:szCs w:val="24"/>
        </w:rPr>
        <w:t xml:space="preserve"> permanente que permit</w:t>
      </w:r>
      <w:r w:rsidR="001A0942">
        <w:rPr>
          <w:rFonts w:cs="Arial"/>
          <w:szCs w:val="24"/>
        </w:rPr>
        <w:t>e</w:t>
      </w:r>
      <w:r w:rsidRPr="00B75E2E">
        <w:rPr>
          <w:rFonts w:cs="Arial"/>
          <w:szCs w:val="24"/>
        </w:rPr>
        <w:t xml:space="preserve"> evaluar el avance de su implementación, identificar oportunidades de mejora y garantizar la toma oportuna de decisiones para la mitigación de riesgos. Este seguimiento contribuye a mantener la vigencia de la política y asegurar su contribución al cumplimiento de la misión y los objetivos estratégicos de la entidad.</w:t>
      </w:r>
    </w:p>
    <w:p w14:paraId="635E4EAB" w14:textId="77777777" w:rsidR="00B75E2E" w:rsidRDefault="00B75E2E" w:rsidP="00B75E2E">
      <w:pPr>
        <w:spacing w:before="0" w:after="0"/>
        <w:jc w:val="both"/>
        <w:rPr>
          <w:rFonts w:cs="Arial"/>
          <w:szCs w:val="24"/>
        </w:rPr>
      </w:pPr>
    </w:p>
    <w:p w14:paraId="72883B0F" w14:textId="7FC93892" w:rsidR="00931A29" w:rsidRPr="00B75E2E" w:rsidRDefault="00931A29" w:rsidP="00931A29">
      <w:pPr>
        <w:pStyle w:val="Descripcin"/>
        <w:rPr>
          <w:rFonts w:cs="Arial"/>
          <w:szCs w:val="24"/>
        </w:rPr>
      </w:pPr>
      <w:r>
        <w:t xml:space="preserve">Tabla </w:t>
      </w:r>
      <w:r>
        <w:fldChar w:fldCharType="begin"/>
      </w:r>
      <w:r>
        <w:instrText xml:space="preserve"> SEQ Tabla \* ARABIC </w:instrText>
      </w:r>
      <w:r>
        <w:fldChar w:fldCharType="separate"/>
      </w:r>
      <w:r w:rsidR="00876D49">
        <w:rPr>
          <w:noProof/>
        </w:rPr>
        <w:t>2</w:t>
      </w:r>
      <w:r>
        <w:fldChar w:fldCharType="end"/>
      </w:r>
      <w:r>
        <w:t>. Despliegue de la política</w:t>
      </w:r>
    </w:p>
    <w:tbl>
      <w:tblPr>
        <w:tblStyle w:val="Tablaconcuadrcula"/>
        <w:tblW w:w="8926" w:type="dxa"/>
        <w:tblLook w:val="04A0" w:firstRow="1" w:lastRow="0" w:firstColumn="1" w:lastColumn="0" w:noHBand="0" w:noVBand="1"/>
      </w:tblPr>
      <w:tblGrid>
        <w:gridCol w:w="3256"/>
        <w:gridCol w:w="2693"/>
        <w:gridCol w:w="2977"/>
      </w:tblGrid>
      <w:tr w:rsidR="001B6E98" w:rsidRPr="00375418" w14:paraId="45A66D94" w14:textId="77777777" w:rsidTr="00E1005C">
        <w:trPr>
          <w:tblHeader/>
        </w:trPr>
        <w:tc>
          <w:tcPr>
            <w:tcW w:w="3256" w:type="dxa"/>
            <w:shd w:val="clear" w:color="auto" w:fill="D9D9D9" w:themeFill="background1" w:themeFillShade="D9"/>
          </w:tcPr>
          <w:p w14:paraId="084D5364" w14:textId="1BED9A2D" w:rsidR="001B6E98" w:rsidRPr="00E1005C" w:rsidRDefault="001B6E98" w:rsidP="00E1005C">
            <w:pPr>
              <w:spacing w:before="0" w:line="240" w:lineRule="auto"/>
              <w:contextualSpacing/>
              <w:jc w:val="center"/>
              <w:rPr>
                <w:rStyle w:val="ui-provider"/>
                <w:rFonts w:cs="Arial"/>
                <w:b/>
                <w:bCs/>
                <w:sz w:val="22"/>
              </w:rPr>
            </w:pPr>
            <w:r w:rsidRPr="00E1005C">
              <w:rPr>
                <w:rStyle w:val="ui-provider"/>
                <w:rFonts w:cs="Arial"/>
                <w:b/>
                <w:bCs/>
                <w:sz w:val="22"/>
              </w:rPr>
              <w:t>Directriz</w:t>
            </w:r>
          </w:p>
        </w:tc>
        <w:tc>
          <w:tcPr>
            <w:tcW w:w="2693" w:type="dxa"/>
            <w:shd w:val="clear" w:color="auto" w:fill="D9D9D9" w:themeFill="background1" w:themeFillShade="D9"/>
          </w:tcPr>
          <w:p w14:paraId="1984C712" w14:textId="4B0459A0" w:rsidR="001B6E98" w:rsidRPr="00E1005C" w:rsidRDefault="001B6E98" w:rsidP="00E1005C">
            <w:pPr>
              <w:spacing w:line="240" w:lineRule="auto"/>
              <w:contextualSpacing/>
              <w:jc w:val="center"/>
              <w:rPr>
                <w:rStyle w:val="ui-provider"/>
                <w:rFonts w:cs="Arial"/>
                <w:b/>
                <w:bCs/>
                <w:sz w:val="22"/>
              </w:rPr>
            </w:pPr>
            <w:r w:rsidRPr="00E1005C">
              <w:rPr>
                <w:rStyle w:val="ui-provider"/>
                <w:rFonts w:cs="Arial"/>
                <w:b/>
                <w:bCs/>
                <w:sz w:val="22"/>
              </w:rPr>
              <w:t>Objetivo</w:t>
            </w:r>
          </w:p>
        </w:tc>
        <w:tc>
          <w:tcPr>
            <w:tcW w:w="2977" w:type="dxa"/>
            <w:shd w:val="clear" w:color="auto" w:fill="D9D9D9" w:themeFill="background1" w:themeFillShade="D9"/>
          </w:tcPr>
          <w:p w14:paraId="15D5C9AB" w14:textId="7A8C79E7" w:rsidR="001B6E98" w:rsidRPr="00E1005C" w:rsidRDefault="001B6E98" w:rsidP="00E1005C">
            <w:pPr>
              <w:spacing w:line="240" w:lineRule="auto"/>
              <w:contextualSpacing/>
              <w:jc w:val="center"/>
              <w:rPr>
                <w:rStyle w:val="ui-provider"/>
                <w:rFonts w:cs="Arial"/>
                <w:b/>
                <w:bCs/>
                <w:sz w:val="22"/>
              </w:rPr>
            </w:pPr>
            <w:r w:rsidRPr="00E1005C">
              <w:rPr>
                <w:rStyle w:val="ui-provider"/>
                <w:rFonts w:cs="Arial"/>
                <w:b/>
                <w:bCs/>
                <w:sz w:val="22"/>
              </w:rPr>
              <w:t>Indicador</w:t>
            </w:r>
          </w:p>
        </w:tc>
      </w:tr>
      <w:tr w:rsidR="00375418" w:rsidRPr="00375418" w14:paraId="5610D14D" w14:textId="77777777" w:rsidTr="007758F9">
        <w:tc>
          <w:tcPr>
            <w:tcW w:w="3256" w:type="dxa"/>
          </w:tcPr>
          <w:p w14:paraId="482A3A2A" w14:textId="2272F8D3" w:rsidR="00F20B73" w:rsidRPr="00282656" w:rsidRDefault="00002710" w:rsidP="00973FA6">
            <w:pPr>
              <w:spacing w:line="240" w:lineRule="auto"/>
              <w:contextualSpacing/>
              <w:jc w:val="both"/>
              <w:rPr>
                <w:rStyle w:val="ui-provider"/>
                <w:rFonts w:cs="Arial"/>
                <w:sz w:val="22"/>
              </w:rPr>
            </w:pPr>
            <w:r w:rsidRPr="00282656">
              <w:rPr>
                <w:rStyle w:val="ui-provider"/>
                <w:rFonts w:cs="Arial"/>
                <w:sz w:val="22"/>
              </w:rPr>
              <w:t xml:space="preserve">Gestionar los riesgos institucionales, actividades de control y tratamiento de </w:t>
            </w:r>
            <w:r w:rsidR="002E449C">
              <w:rPr>
                <w:rStyle w:val="ui-provider"/>
                <w:rFonts w:cs="Arial"/>
                <w:sz w:val="22"/>
              </w:rPr>
              <w:t>é</w:t>
            </w:r>
            <w:r w:rsidRPr="00282656">
              <w:rPr>
                <w:rStyle w:val="ui-provider"/>
                <w:rFonts w:cs="Arial"/>
                <w:sz w:val="22"/>
              </w:rPr>
              <w:t>stos, en relación con su apetito por riesgo, de manera integral, articulada y eficiente.</w:t>
            </w:r>
          </w:p>
        </w:tc>
        <w:tc>
          <w:tcPr>
            <w:tcW w:w="2693" w:type="dxa"/>
          </w:tcPr>
          <w:p w14:paraId="170637ED" w14:textId="057692AE" w:rsidR="00D8394F" w:rsidRPr="00282656" w:rsidRDefault="00A574F9" w:rsidP="007B0C75">
            <w:pPr>
              <w:spacing w:line="240" w:lineRule="auto"/>
              <w:contextualSpacing/>
              <w:rPr>
                <w:rStyle w:val="ui-provider"/>
                <w:rFonts w:cs="Arial"/>
                <w:b/>
                <w:bCs/>
                <w:sz w:val="22"/>
              </w:rPr>
            </w:pPr>
            <w:r w:rsidRPr="00282656">
              <w:rPr>
                <w:rStyle w:val="ui-provider"/>
                <w:rFonts w:cs="Arial"/>
                <w:sz w:val="22"/>
              </w:rPr>
              <w:t>G</w:t>
            </w:r>
            <w:r w:rsidR="0034668E">
              <w:rPr>
                <w:rStyle w:val="ui-provider"/>
                <w:rFonts w:cs="Arial"/>
                <w:sz w:val="22"/>
              </w:rPr>
              <w:t>e</w:t>
            </w:r>
            <w:r w:rsidR="0034668E">
              <w:rPr>
                <w:rStyle w:val="ui-provider"/>
              </w:rPr>
              <w:t xml:space="preserve">stionar </w:t>
            </w:r>
            <w:r w:rsidR="00EA4F41">
              <w:rPr>
                <w:rStyle w:val="ui-provider"/>
              </w:rPr>
              <w:t xml:space="preserve">de manera </w:t>
            </w:r>
            <w:r w:rsidRPr="00282656">
              <w:rPr>
                <w:rStyle w:val="ui-provider"/>
                <w:rFonts w:cs="Arial"/>
                <w:sz w:val="22"/>
              </w:rPr>
              <w:t>integral y articulada de los riesgos institucionales.</w:t>
            </w:r>
          </w:p>
        </w:tc>
        <w:tc>
          <w:tcPr>
            <w:tcW w:w="2977" w:type="dxa"/>
          </w:tcPr>
          <w:p w14:paraId="2F0030F4" w14:textId="5437DA30" w:rsidR="001942E8" w:rsidRPr="00282656" w:rsidRDefault="00480B3D" w:rsidP="001942E8">
            <w:pPr>
              <w:spacing w:line="240" w:lineRule="auto"/>
              <w:contextualSpacing/>
              <w:rPr>
                <w:rStyle w:val="ui-provider"/>
                <w:rFonts w:cs="Arial"/>
                <w:b/>
                <w:bCs/>
                <w:sz w:val="22"/>
              </w:rPr>
            </w:pPr>
            <w:r>
              <w:rPr>
                <w:rStyle w:val="ui-provider"/>
                <w:rFonts w:cs="Arial"/>
                <w:b/>
                <w:bCs/>
                <w:sz w:val="22"/>
              </w:rPr>
              <w:t>Porcentaje</w:t>
            </w:r>
            <w:r w:rsidRPr="00282656">
              <w:rPr>
                <w:rStyle w:val="ui-provider"/>
                <w:rFonts w:cs="Arial"/>
                <w:b/>
                <w:bCs/>
                <w:sz w:val="22"/>
              </w:rPr>
              <w:t xml:space="preserve"> </w:t>
            </w:r>
            <w:r w:rsidR="001942E8" w:rsidRPr="00282656">
              <w:rPr>
                <w:rStyle w:val="ui-provider"/>
                <w:rFonts w:cs="Arial"/>
                <w:b/>
                <w:bCs/>
                <w:sz w:val="22"/>
              </w:rPr>
              <w:t>de riesgos con planes de tratamiento implementados</w:t>
            </w:r>
          </w:p>
          <w:p w14:paraId="4B985BA9" w14:textId="77777777" w:rsidR="009D17A5" w:rsidRPr="00282656" w:rsidRDefault="009D17A5" w:rsidP="001942E8">
            <w:pPr>
              <w:spacing w:line="240" w:lineRule="auto"/>
              <w:contextualSpacing/>
              <w:rPr>
                <w:rStyle w:val="ui-provider"/>
                <w:rFonts w:cs="Arial"/>
                <w:sz w:val="22"/>
              </w:rPr>
            </w:pPr>
          </w:p>
          <w:p w14:paraId="3562BC36" w14:textId="3CC270B8" w:rsidR="001942E8" w:rsidRPr="00282656" w:rsidRDefault="001942E8" w:rsidP="001942E8">
            <w:pPr>
              <w:spacing w:line="240" w:lineRule="auto"/>
              <w:contextualSpacing/>
              <w:rPr>
                <w:rStyle w:val="ui-provider"/>
                <w:rFonts w:cs="Arial"/>
                <w:sz w:val="22"/>
              </w:rPr>
            </w:pPr>
            <w:r w:rsidRPr="00282656">
              <w:rPr>
                <w:rStyle w:val="ui-provider"/>
                <w:rFonts w:cs="Arial"/>
                <w:sz w:val="22"/>
              </w:rPr>
              <w:t>Fórmula: (Riesgos con tratamiento ajustado al apetito de riesgo</w:t>
            </w:r>
            <w:r w:rsidR="00827EFC">
              <w:rPr>
                <w:rStyle w:val="ui-provider"/>
                <w:rFonts w:cs="Arial"/>
                <w:sz w:val="22"/>
              </w:rPr>
              <w:t xml:space="preserve"> </w:t>
            </w:r>
            <w:r w:rsidR="00827EFC">
              <w:rPr>
                <w:rStyle w:val="ui-provider"/>
              </w:rPr>
              <w:t>implementados</w:t>
            </w:r>
            <w:r w:rsidRPr="00282656">
              <w:rPr>
                <w:rStyle w:val="ui-provider"/>
                <w:rFonts w:cs="Arial"/>
                <w:sz w:val="22"/>
              </w:rPr>
              <w:t xml:space="preserve"> / Total de riesgos </w:t>
            </w:r>
            <w:r w:rsidR="00462DB7">
              <w:rPr>
                <w:rStyle w:val="ui-provider"/>
                <w:rFonts w:cs="Arial"/>
                <w:sz w:val="22"/>
              </w:rPr>
              <w:t>f</w:t>
            </w:r>
            <w:r w:rsidR="00462DB7">
              <w:rPr>
                <w:rStyle w:val="ui-provider"/>
              </w:rPr>
              <w:t>ormulados)</w:t>
            </w:r>
            <w:r w:rsidRPr="00282656">
              <w:rPr>
                <w:rStyle w:val="ui-provider"/>
                <w:rFonts w:cs="Arial"/>
                <w:sz w:val="22"/>
              </w:rPr>
              <w:t xml:space="preserve"> × 100</w:t>
            </w:r>
          </w:p>
          <w:p w14:paraId="1C208EAF" w14:textId="77777777" w:rsidR="009D17A5" w:rsidRPr="00282656" w:rsidRDefault="009D17A5" w:rsidP="001942E8">
            <w:pPr>
              <w:spacing w:line="240" w:lineRule="auto"/>
              <w:contextualSpacing/>
              <w:rPr>
                <w:rStyle w:val="ui-provider"/>
                <w:rFonts w:cs="Arial"/>
                <w:sz w:val="22"/>
              </w:rPr>
            </w:pPr>
          </w:p>
          <w:p w14:paraId="649C2A54" w14:textId="32FF0827" w:rsidR="00D8394F" w:rsidRPr="00282656" w:rsidRDefault="001942E8" w:rsidP="001942E8">
            <w:pPr>
              <w:spacing w:line="240" w:lineRule="auto"/>
              <w:contextualSpacing/>
              <w:rPr>
                <w:rStyle w:val="ui-provider"/>
                <w:rFonts w:cs="Arial"/>
                <w:b/>
                <w:bCs/>
                <w:i/>
                <w:iCs/>
                <w:sz w:val="22"/>
              </w:rPr>
            </w:pPr>
            <w:r w:rsidRPr="00282656">
              <w:rPr>
                <w:rStyle w:val="ui-provider"/>
                <w:rFonts w:cs="Arial"/>
                <w:b/>
                <w:bCs/>
                <w:sz w:val="22"/>
              </w:rPr>
              <w:t>Meta:</w:t>
            </w:r>
            <w:r w:rsidR="00A57D93">
              <w:rPr>
                <w:rStyle w:val="ui-provider"/>
                <w:rFonts w:cs="Arial"/>
                <w:b/>
                <w:bCs/>
                <w:sz w:val="22"/>
              </w:rPr>
              <w:t>1</w:t>
            </w:r>
            <w:r w:rsidR="00A57D93" w:rsidRPr="00282656">
              <w:rPr>
                <w:rStyle w:val="ui-provider"/>
                <w:rFonts w:cs="Arial"/>
                <w:b/>
                <w:bCs/>
                <w:sz w:val="22"/>
              </w:rPr>
              <w:t>0</w:t>
            </w:r>
            <w:r w:rsidRPr="00282656">
              <w:rPr>
                <w:rStyle w:val="ui-provider"/>
                <w:rFonts w:cs="Arial"/>
                <w:b/>
                <w:bCs/>
                <w:sz w:val="22"/>
              </w:rPr>
              <w:t>0%</w:t>
            </w:r>
          </w:p>
        </w:tc>
      </w:tr>
      <w:tr w:rsidR="00375418" w:rsidRPr="00375418" w14:paraId="4E13FB76" w14:textId="77777777" w:rsidTr="007758F9">
        <w:tc>
          <w:tcPr>
            <w:tcW w:w="3256" w:type="dxa"/>
          </w:tcPr>
          <w:p w14:paraId="5E3A4951" w14:textId="1C7503A7" w:rsidR="00D8394F" w:rsidRPr="00282656" w:rsidRDefault="00D9200B" w:rsidP="00BB3A54">
            <w:pPr>
              <w:spacing w:before="0" w:after="0" w:line="240" w:lineRule="auto"/>
              <w:jc w:val="both"/>
              <w:rPr>
                <w:rStyle w:val="ui-provider"/>
                <w:rFonts w:cs="Arial"/>
                <w:sz w:val="22"/>
              </w:rPr>
            </w:pPr>
            <w:r w:rsidRPr="00282656">
              <w:rPr>
                <w:rStyle w:val="ui-provider"/>
                <w:rFonts w:cs="Arial"/>
                <w:sz w:val="22"/>
              </w:rPr>
              <w:t>Proveer los recursos necesarios a fin de satisfacer los requisitos aplicables para una adecuada administración del riesgo institucional.</w:t>
            </w:r>
          </w:p>
        </w:tc>
        <w:tc>
          <w:tcPr>
            <w:tcW w:w="2693" w:type="dxa"/>
          </w:tcPr>
          <w:p w14:paraId="7D1B9A2A" w14:textId="2CDCD8EF" w:rsidR="00D8394F" w:rsidRPr="00282656" w:rsidRDefault="006F661B" w:rsidP="00BB3A54">
            <w:pPr>
              <w:spacing w:before="0" w:after="0" w:line="240" w:lineRule="auto"/>
              <w:rPr>
                <w:rStyle w:val="ui-provider"/>
                <w:rFonts w:cs="Arial"/>
                <w:sz w:val="22"/>
              </w:rPr>
            </w:pPr>
            <w:r>
              <w:rPr>
                <w:rStyle w:val="ui-provider"/>
                <w:rFonts w:cs="Arial"/>
                <w:sz w:val="22"/>
              </w:rPr>
              <w:t>G</w:t>
            </w:r>
            <w:r>
              <w:rPr>
                <w:rStyle w:val="ui-provider"/>
              </w:rPr>
              <w:t>estionar</w:t>
            </w:r>
            <w:r w:rsidR="001942E8" w:rsidRPr="00282656">
              <w:rPr>
                <w:rStyle w:val="ui-provider"/>
                <w:rFonts w:cs="Arial"/>
                <w:sz w:val="22"/>
              </w:rPr>
              <w:t xml:space="preserve"> la disponibilidad y asignación de recursos humanos, tecnológicos y financieros requeridos para la gestión del riesgo institucional.</w:t>
            </w:r>
          </w:p>
        </w:tc>
        <w:tc>
          <w:tcPr>
            <w:tcW w:w="2977" w:type="dxa"/>
          </w:tcPr>
          <w:p w14:paraId="6C79D0D2" w14:textId="200A1934" w:rsidR="001942E8" w:rsidRPr="00282656" w:rsidRDefault="00D73D4A" w:rsidP="00BB3A54">
            <w:pPr>
              <w:spacing w:before="0" w:after="0" w:line="240" w:lineRule="auto"/>
              <w:rPr>
                <w:rStyle w:val="ui-provider"/>
                <w:rFonts w:cs="Arial"/>
                <w:b/>
                <w:bCs/>
                <w:sz w:val="22"/>
              </w:rPr>
            </w:pPr>
            <w:r>
              <w:rPr>
                <w:rStyle w:val="ui-provider"/>
                <w:rFonts w:cs="Arial"/>
                <w:b/>
                <w:bCs/>
                <w:sz w:val="22"/>
              </w:rPr>
              <w:t>Porcentaje</w:t>
            </w:r>
            <w:r w:rsidR="001942E8" w:rsidRPr="00282656">
              <w:rPr>
                <w:rStyle w:val="ui-provider"/>
                <w:rFonts w:cs="Arial"/>
                <w:b/>
                <w:bCs/>
                <w:sz w:val="22"/>
              </w:rPr>
              <w:t xml:space="preserve"> de ejecución de recursos asignados para la gestión del riesgo institucional</w:t>
            </w:r>
          </w:p>
          <w:p w14:paraId="5F100937" w14:textId="77777777" w:rsidR="00BB3A54" w:rsidRPr="00282656" w:rsidRDefault="00BB3A54" w:rsidP="00BB3A54">
            <w:pPr>
              <w:spacing w:before="0" w:after="0" w:line="240" w:lineRule="auto"/>
              <w:rPr>
                <w:rStyle w:val="ui-provider"/>
                <w:rFonts w:cs="Arial"/>
                <w:b/>
                <w:bCs/>
                <w:sz w:val="22"/>
              </w:rPr>
            </w:pPr>
          </w:p>
          <w:p w14:paraId="184D04F9" w14:textId="77777777" w:rsidR="001942E8" w:rsidRPr="00282656" w:rsidRDefault="001942E8" w:rsidP="00BB3A54">
            <w:pPr>
              <w:spacing w:before="0" w:after="0" w:line="240" w:lineRule="auto"/>
              <w:rPr>
                <w:rStyle w:val="ui-provider"/>
                <w:rFonts w:cs="Arial"/>
                <w:sz w:val="22"/>
              </w:rPr>
            </w:pPr>
            <w:r w:rsidRPr="00282656">
              <w:rPr>
                <w:rStyle w:val="ui-provider"/>
                <w:rFonts w:cs="Arial"/>
                <w:sz w:val="22"/>
              </w:rPr>
              <w:t>Fórmula: (Recursos ejecutados para la gestión del riesgo / Recursos asignados) × 100</w:t>
            </w:r>
          </w:p>
          <w:p w14:paraId="46BD7BF7" w14:textId="77777777" w:rsidR="00BB3A54" w:rsidRPr="00282656" w:rsidRDefault="00BB3A54" w:rsidP="00BB3A54">
            <w:pPr>
              <w:spacing w:before="0" w:after="0" w:line="240" w:lineRule="auto"/>
              <w:rPr>
                <w:rStyle w:val="ui-provider"/>
                <w:rFonts w:cs="Arial"/>
                <w:sz w:val="22"/>
              </w:rPr>
            </w:pPr>
          </w:p>
          <w:p w14:paraId="26F6331F" w14:textId="50015684" w:rsidR="00D8394F" w:rsidRPr="00A57D93" w:rsidRDefault="001942E8" w:rsidP="00BB3A54">
            <w:pPr>
              <w:spacing w:before="0" w:after="0" w:line="240" w:lineRule="auto"/>
              <w:rPr>
                <w:rStyle w:val="ui-provider"/>
                <w:rFonts w:cs="Arial"/>
                <w:b/>
                <w:bCs/>
                <w:sz w:val="22"/>
              </w:rPr>
            </w:pPr>
            <w:r w:rsidRPr="00A57D93">
              <w:rPr>
                <w:rStyle w:val="ui-provider"/>
                <w:rFonts w:cs="Arial"/>
                <w:b/>
                <w:bCs/>
                <w:sz w:val="22"/>
              </w:rPr>
              <w:lastRenderedPageBreak/>
              <w:t>Meta: ≥ 95%</w:t>
            </w:r>
          </w:p>
        </w:tc>
      </w:tr>
      <w:tr w:rsidR="00375418" w:rsidRPr="00375418" w14:paraId="002D2967" w14:textId="77777777" w:rsidTr="000F47F9">
        <w:trPr>
          <w:trHeight w:val="4214"/>
        </w:trPr>
        <w:tc>
          <w:tcPr>
            <w:tcW w:w="3256" w:type="dxa"/>
          </w:tcPr>
          <w:p w14:paraId="6FA2B77B" w14:textId="136515F2" w:rsidR="00D8394F" w:rsidRPr="00282656" w:rsidRDefault="00D9200B" w:rsidP="00EE2177">
            <w:pPr>
              <w:spacing w:before="0" w:after="0" w:line="240" w:lineRule="auto"/>
              <w:rPr>
                <w:rStyle w:val="ui-provider"/>
                <w:rFonts w:cs="Arial"/>
                <w:sz w:val="22"/>
              </w:rPr>
            </w:pPr>
            <w:r w:rsidRPr="00282656">
              <w:rPr>
                <w:rStyle w:val="ui-provider"/>
                <w:rFonts w:cs="Arial"/>
                <w:sz w:val="22"/>
              </w:rPr>
              <w:lastRenderedPageBreak/>
              <w:t>Mantener la mejora continua en la gestión integral de los riesgos institucionales y oportunidades, a través de seguimientos y monitoreos planificados y sistemáticos, que apoyen la toma de decisiones, la generación de alertas tempranas y la identificación de riesgos emergentes, así como la definición y actualización de los criterios, métodos, herramientas y lineamientos para la gestión integral de riesgos institucionales.</w:t>
            </w:r>
          </w:p>
        </w:tc>
        <w:tc>
          <w:tcPr>
            <w:tcW w:w="2693" w:type="dxa"/>
          </w:tcPr>
          <w:p w14:paraId="5065CCD0" w14:textId="36A8C71E" w:rsidR="00D8394F" w:rsidRPr="00282656" w:rsidRDefault="001942E8" w:rsidP="00EE2177">
            <w:pPr>
              <w:spacing w:before="0" w:after="0" w:line="240" w:lineRule="auto"/>
              <w:rPr>
                <w:rStyle w:val="ui-provider"/>
                <w:rFonts w:cs="Arial"/>
                <w:sz w:val="22"/>
              </w:rPr>
            </w:pPr>
            <w:r w:rsidRPr="00282656">
              <w:rPr>
                <w:rStyle w:val="ui-provider"/>
                <w:rFonts w:cs="Arial"/>
                <w:sz w:val="22"/>
              </w:rPr>
              <w:t xml:space="preserve">Fortalecer el ciclo de mejora continua en la gestión de riesgos institucional </w:t>
            </w:r>
          </w:p>
        </w:tc>
        <w:tc>
          <w:tcPr>
            <w:tcW w:w="2977" w:type="dxa"/>
          </w:tcPr>
          <w:p w14:paraId="220239A2" w14:textId="0D445810" w:rsidR="00EE2177" w:rsidRPr="00282656" w:rsidRDefault="000E6DE6" w:rsidP="00EE2177">
            <w:pPr>
              <w:spacing w:before="0" w:after="0" w:line="240" w:lineRule="auto"/>
              <w:rPr>
                <w:rFonts w:cs="Arial"/>
                <w:b/>
                <w:bCs/>
                <w:sz w:val="22"/>
              </w:rPr>
            </w:pPr>
            <w:r>
              <w:rPr>
                <w:rStyle w:val="ui-provider"/>
                <w:rFonts w:cs="Arial"/>
                <w:b/>
                <w:bCs/>
                <w:sz w:val="22"/>
              </w:rPr>
              <w:t>Porcentaje</w:t>
            </w:r>
            <w:r w:rsidR="00BC2417" w:rsidRPr="00BC2417">
              <w:rPr>
                <w:rFonts w:cs="Arial"/>
                <w:b/>
                <w:bCs/>
                <w:sz w:val="22"/>
              </w:rPr>
              <w:t xml:space="preserve"> de seguimientos y monitoreos</w:t>
            </w:r>
            <w:r w:rsidR="00667F75">
              <w:rPr>
                <w:rFonts w:cs="Arial"/>
                <w:b/>
                <w:bCs/>
                <w:sz w:val="22"/>
              </w:rPr>
              <w:t xml:space="preserve"> </w:t>
            </w:r>
            <w:r w:rsidR="00BC2417" w:rsidRPr="00BC2417">
              <w:rPr>
                <w:rFonts w:cs="Arial"/>
                <w:b/>
                <w:bCs/>
                <w:sz w:val="22"/>
              </w:rPr>
              <w:t>de riesgos ejecutados conforme al plan anual</w:t>
            </w:r>
            <w:r w:rsidR="00994BE9">
              <w:rPr>
                <w:rFonts w:cs="Arial"/>
                <w:b/>
                <w:bCs/>
                <w:sz w:val="22"/>
              </w:rPr>
              <w:t xml:space="preserve"> en el marco del esquema de líneas de defensa </w:t>
            </w:r>
            <w:r w:rsidR="00994BE9" w:rsidRPr="00BC2417">
              <w:rPr>
                <w:rFonts w:cs="Arial"/>
                <w:b/>
                <w:bCs/>
                <w:sz w:val="22"/>
              </w:rPr>
              <w:t xml:space="preserve"> </w:t>
            </w:r>
          </w:p>
          <w:p w14:paraId="7880C432" w14:textId="77777777" w:rsidR="0041483D" w:rsidRDefault="0041483D" w:rsidP="00EE2177">
            <w:pPr>
              <w:spacing w:before="0" w:after="0" w:line="240" w:lineRule="auto"/>
              <w:rPr>
                <w:rFonts w:cs="Arial"/>
                <w:sz w:val="22"/>
              </w:rPr>
            </w:pPr>
          </w:p>
          <w:p w14:paraId="548BEEC5" w14:textId="7730A338" w:rsidR="00EE2177" w:rsidRPr="00282656" w:rsidRDefault="00BC2417" w:rsidP="00EE2177">
            <w:pPr>
              <w:spacing w:before="0" w:after="0" w:line="240" w:lineRule="auto"/>
              <w:rPr>
                <w:rFonts w:cs="Arial"/>
                <w:sz w:val="22"/>
              </w:rPr>
            </w:pPr>
            <w:r w:rsidRPr="00BC2417">
              <w:rPr>
                <w:rFonts w:cs="Arial"/>
                <w:sz w:val="22"/>
              </w:rPr>
              <w:t xml:space="preserve">Fórmula: </w:t>
            </w:r>
          </w:p>
          <w:p w14:paraId="0A115BB6" w14:textId="77777777" w:rsidR="00EE2177" w:rsidRPr="00282656" w:rsidRDefault="00BC2417" w:rsidP="00EE2177">
            <w:pPr>
              <w:spacing w:before="0" w:after="0" w:line="240" w:lineRule="auto"/>
              <w:rPr>
                <w:rFonts w:cs="Arial"/>
                <w:sz w:val="22"/>
              </w:rPr>
            </w:pPr>
            <w:r w:rsidRPr="00BC2417">
              <w:rPr>
                <w:rFonts w:cs="Arial"/>
                <w:sz w:val="22"/>
              </w:rPr>
              <w:t>(Seguimientos ejecutados / Seguimientos planificados) × 100</w:t>
            </w:r>
          </w:p>
          <w:p w14:paraId="1430D97C" w14:textId="77777777" w:rsidR="0041483D" w:rsidRDefault="0041483D" w:rsidP="00B235FB">
            <w:pPr>
              <w:spacing w:before="0" w:after="0" w:line="240" w:lineRule="auto"/>
              <w:rPr>
                <w:rFonts w:cs="Arial"/>
                <w:sz w:val="22"/>
              </w:rPr>
            </w:pPr>
          </w:p>
          <w:p w14:paraId="6C6F2D63" w14:textId="7D4B09B9" w:rsidR="00D8394F" w:rsidRPr="00282656" w:rsidRDefault="00497184" w:rsidP="0041483D">
            <w:pPr>
              <w:spacing w:before="0" w:after="0" w:line="240" w:lineRule="auto"/>
              <w:rPr>
                <w:rStyle w:val="ui-provider"/>
                <w:rFonts w:cs="Arial"/>
                <w:i/>
                <w:iCs/>
                <w:sz w:val="22"/>
              </w:rPr>
            </w:pPr>
            <w:r w:rsidRPr="00282656">
              <w:rPr>
                <w:rStyle w:val="ui-provider"/>
                <w:rFonts w:cs="Arial"/>
                <w:b/>
                <w:bCs/>
                <w:sz w:val="22"/>
              </w:rPr>
              <w:t>Meta:</w:t>
            </w:r>
            <w:r>
              <w:rPr>
                <w:rStyle w:val="ui-provider"/>
                <w:rFonts w:cs="Arial"/>
                <w:b/>
                <w:bCs/>
                <w:sz w:val="22"/>
              </w:rPr>
              <w:t>1</w:t>
            </w:r>
            <w:r w:rsidRPr="00282656">
              <w:rPr>
                <w:rStyle w:val="ui-provider"/>
                <w:rFonts w:cs="Arial"/>
                <w:b/>
                <w:bCs/>
                <w:sz w:val="22"/>
              </w:rPr>
              <w:t>00%</w:t>
            </w:r>
          </w:p>
        </w:tc>
      </w:tr>
      <w:tr w:rsidR="00375418" w:rsidRPr="00375418" w14:paraId="16907540" w14:textId="77777777" w:rsidTr="007758F9">
        <w:tc>
          <w:tcPr>
            <w:tcW w:w="3256" w:type="dxa"/>
          </w:tcPr>
          <w:p w14:paraId="3F5BAF73" w14:textId="09AC1EF3" w:rsidR="007B0C75" w:rsidRPr="00282656" w:rsidRDefault="00E17B65" w:rsidP="00BB3A54">
            <w:pPr>
              <w:spacing w:before="0" w:after="0" w:line="240" w:lineRule="auto"/>
              <w:rPr>
                <w:rStyle w:val="ui-provider"/>
                <w:rFonts w:cs="Arial"/>
                <w:sz w:val="22"/>
              </w:rPr>
            </w:pPr>
            <w:r w:rsidRPr="00282656">
              <w:rPr>
                <w:rStyle w:val="ui-provider"/>
                <w:rFonts w:cs="Arial"/>
                <w:sz w:val="22"/>
              </w:rPr>
              <w:t>Fomentar la cultura de riesgo y control, en las actuaciones de los colaboradores de la Entidad, promoviendo el desarrollo de actividades de seguimiento de manera sistemática, bajo el esquema de líneas de defensa y los principios de transparencia y ética pública.</w:t>
            </w:r>
          </w:p>
        </w:tc>
        <w:tc>
          <w:tcPr>
            <w:tcW w:w="2693" w:type="dxa"/>
          </w:tcPr>
          <w:p w14:paraId="3B669536" w14:textId="19AB0D19" w:rsidR="007B0C75" w:rsidRPr="00282656" w:rsidRDefault="00BC2417" w:rsidP="0041483D">
            <w:pPr>
              <w:spacing w:before="0" w:after="0" w:line="240" w:lineRule="auto"/>
              <w:rPr>
                <w:rStyle w:val="ui-provider"/>
                <w:rFonts w:cs="Arial"/>
                <w:sz w:val="22"/>
              </w:rPr>
            </w:pPr>
            <w:r w:rsidRPr="00BC2417">
              <w:rPr>
                <w:rFonts w:cs="Arial"/>
                <w:sz w:val="22"/>
              </w:rPr>
              <w:t>Promover la cultura institucional de riesgo, control y ética pública</w:t>
            </w:r>
          </w:p>
        </w:tc>
        <w:tc>
          <w:tcPr>
            <w:tcW w:w="2977" w:type="dxa"/>
          </w:tcPr>
          <w:p w14:paraId="1CDD2160" w14:textId="534E85AD" w:rsidR="0041483D" w:rsidRDefault="00832918" w:rsidP="00BB3A54">
            <w:pPr>
              <w:spacing w:before="0" w:after="0" w:line="240" w:lineRule="auto"/>
              <w:rPr>
                <w:rFonts w:cs="Arial"/>
                <w:b/>
                <w:bCs/>
                <w:sz w:val="22"/>
              </w:rPr>
            </w:pPr>
            <w:r>
              <w:rPr>
                <w:rStyle w:val="ui-provider"/>
                <w:rFonts w:cs="Arial"/>
                <w:b/>
                <w:bCs/>
                <w:sz w:val="22"/>
              </w:rPr>
              <w:t>Porcentaje</w:t>
            </w:r>
            <w:r w:rsidR="00BC2417" w:rsidRPr="00BC2417">
              <w:rPr>
                <w:rFonts w:cs="Arial"/>
                <w:b/>
                <w:bCs/>
                <w:sz w:val="22"/>
              </w:rPr>
              <w:t xml:space="preserve"> de servidores capacitados en gestión del riesgo, control interno y ética pública</w:t>
            </w:r>
          </w:p>
          <w:p w14:paraId="29B0D305" w14:textId="77777777" w:rsidR="0041483D" w:rsidRDefault="0041483D" w:rsidP="00BB3A54">
            <w:pPr>
              <w:spacing w:before="0" w:after="0" w:line="240" w:lineRule="auto"/>
              <w:rPr>
                <w:rFonts w:cs="Arial"/>
                <w:b/>
                <w:bCs/>
                <w:sz w:val="22"/>
              </w:rPr>
            </w:pPr>
          </w:p>
          <w:p w14:paraId="45033A92" w14:textId="77777777" w:rsidR="0041483D" w:rsidRDefault="00BC2417" w:rsidP="0041483D">
            <w:pPr>
              <w:spacing w:before="0" w:after="0" w:line="240" w:lineRule="auto"/>
              <w:rPr>
                <w:rFonts w:cs="Arial"/>
                <w:sz w:val="22"/>
              </w:rPr>
            </w:pPr>
            <w:r w:rsidRPr="00BC2417">
              <w:rPr>
                <w:rFonts w:cs="Arial"/>
                <w:sz w:val="22"/>
              </w:rPr>
              <w:t>Fórmula: (Servidores capacitados / Total de servidores) × 100</w:t>
            </w:r>
          </w:p>
          <w:p w14:paraId="5CD482AE" w14:textId="77777777" w:rsidR="0041483D" w:rsidRDefault="0041483D" w:rsidP="0041483D">
            <w:pPr>
              <w:spacing w:before="0" w:after="0" w:line="240" w:lineRule="auto"/>
            </w:pPr>
          </w:p>
          <w:p w14:paraId="69770890" w14:textId="27009803" w:rsidR="007B0C75" w:rsidRPr="00497184" w:rsidRDefault="00BC2417" w:rsidP="0041483D">
            <w:pPr>
              <w:spacing w:before="0" w:after="0" w:line="240" w:lineRule="auto"/>
              <w:rPr>
                <w:rStyle w:val="ui-provider"/>
                <w:rFonts w:cs="Arial"/>
                <w:b/>
                <w:bCs/>
                <w:sz w:val="22"/>
              </w:rPr>
            </w:pPr>
            <w:r w:rsidRPr="00497184">
              <w:rPr>
                <w:rFonts w:cs="Arial"/>
                <w:b/>
                <w:bCs/>
                <w:sz w:val="22"/>
              </w:rPr>
              <w:t>Meta: ≥ 85%</w:t>
            </w:r>
          </w:p>
        </w:tc>
      </w:tr>
      <w:tr w:rsidR="00375418" w:rsidRPr="00375418" w14:paraId="1012B17C" w14:textId="77777777" w:rsidTr="007758F9">
        <w:tc>
          <w:tcPr>
            <w:tcW w:w="3256" w:type="dxa"/>
          </w:tcPr>
          <w:p w14:paraId="4B34FEDE" w14:textId="5113F951" w:rsidR="00A71022" w:rsidRPr="00282656" w:rsidRDefault="002D3104" w:rsidP="00BB3A54">
            <w:pPr>
              <w:spacing w:before="0" w:after="0" w:line="240" w:lineRule="auto"/>
              <w:rPr>
                <w:rStyle w:val="ui-provider"/>
                <w:rFonts w:cs="Arial"/>
                <w:sz w:val="22"/>
              </w:rPr>
            </w:pPr>
            <w:r w:rsidRPr="00282656">
              <w:rPr>
                <w:rStyle w:val="ui-provider"/>
                <w:rFonts w:cs="Arial"/>
                <w:sz w:val="22"/>
              </w:rPr>
              <w:t>La Supersalud se compromete a prevenir, identificar y abordar todos los actos de fraude, soborno y corrupción, tanto dentro de la organización como contra la Entidad, mediante la concientización sobre los riesgos asociados, la definición e implementación de controles internos destinados a prevenir y detectar el fraude y la corrupción, y la aplicación de esta Política.</w:t>
            </w:r>
          </w:p>
        </w:tc>
        <w:tc>
          <w:tcPr>
            <w:tcW w:w="2693" w:type="dxa"/>
          </w:tcPr>
          <w:p w14:paraId="4B22780B" w14:textId="2E0E4C19" w:rsidR="00A71022" w:rsidRPr="000F47F9" w:rsidRDefault="00BC2417" w:rsidP="00BB3A54">
            <w:pPr>
              <w:spacing w:before="0" w:after="0" w:line="240" w:lineRule="auto"/>
              <w:rPr>
                <w:rStyle w:val="ui-provider"/>
                <w:rFonts w:cs="Arial"/>
                <w:sz w:val="22"/>
              </w:rPr>
            </w:pPr>
            <w:r w:rsidRPr="000F47F9">
              <w:rPr>
                <w:rFonts w:cs="Arial"/>
                <w:sz w:val="22"/>
              </w:rPr>
              <w:t xml:space="preserve">Prevenir y detectar oportunamente </w:t>
            </w:r>
            <w:r w:rsidR="00C46A6F" w:rsidRPr="000F47F9">
              <w:rPr>
                <w:rFonts w:cs="Arial"/>
                <w:sz w:val="22"/>
              </w:rPr>
              <w:t xml:space="preserve">eventos </w:t>
            </w:r>
            <w:r w:rsidR="00E0483C" w:rsidRPr="000F47F9">
              <w:rPr>
                <w:rFonts w:cs="Arial"/>
                <w:sz w:val="22"/>
              </w:rPr>
              <w:t xml:space="preserve">de materialización </w:t>
            </w:r>
            <w:r w:rsidR="00C46A6F" w:rsidRPr="000F47F9">
              <w:rPr>
                <w:rFonts w:cs="Arial"/>
                <w:sz w:val="22"/>
              </w:rPr>
              <w:t>de riesgo</w:t>
            </w:r>
          </w:p>
        </w:tc>
        <w:tc>
          <w:tcPr>
            <w:tcW w:w="2977" w:type="dxa"/>
          </w:tcPr>
          <w:p w14:paraId="0771E988" w14:textId="58BB9CE8" w:rsidR="003231F9" w:rsidRPr="00282656" w:rsidRDefault="00BE4077" w:rsidP="00BB3A54">
            <w:pPr>
              <w:spacing w:before="0" w:after="0" w:line="240" w:lineRule="auto"/>
              <w:rPr>
                <w:rFonts w:cs="Arial"/>
                <w:b/>
                <w:bCs/>
                <w:sz w:val="22"/>
              </w:rPr>
            </w:pPr>
            <w:r>
              <w:rPr>
                <w:rStyle w:val="ui-provider"/>
                <w:rFonts w:cs="Arial"/>
                <w:b/>
                <w:bCs/>
                <w:sz w:val="22"/>
              </w:rPr>
              <w:t>Porcentaje</w:t>
            </w:r>
            <w:r w:rsidR="00BC2417" w:rsidRPr="00BC2417">
              <w:rPr>
                <w:rFonts w:cs="Arial"/>
                <w:b/>
                <w:bCs/>
                <w:sz w:val="22"/>
              </w:rPr>
              <w:t xml:space="preserve"> de controles implementados</w:t>
            </w:r>
          </w:p>
          <w:p w14:paraId="0D7EB80B" w14:textId="77777777" w:rsidR="0041483D" w:rsidRDefault="0041483D" w:rsidP="00BB3A54">
            <w:pPr>
              <w:spacing w:before="0" w:after="0" w:line="240" w:lineRule="auto"/>
              <w:rPr>
                <w:rFonts w:cs="Arial"/>
                <w:sz w:val="22"/>
              </w:rPr>
            </w:pPr>
          </w:p>
          <w:p w14:paraId="025FA323" w14:textId="77777777" w:rsidR="00497184" w:rsidRDefault="00BC2417" w:rsidP="00BB3A54">
            <w:pPr>
              <w:spacing w:before="0" w:after="0" w:line="240" w:lineRule="auto"/>
              <w:rPr>
                <w:rFonts w:cs="Arial"/>
                <w:sz w:val="22"/>
              </w:rPr>
            </w:pPr>
            <w:r w:rsidRPr="00BC2417">
              <w:rPr>
                <w:rFonts w:cs="Arial"/>
                <w:sz w:val="22"/>
              </w:rPr>
              <w:t>Fórmula: (Controles activos / Total de controles definidos) × 100</w:t>
            </w:r>
          </w:p>
          <w:p w14:paraId="5DEF2A55" w14:textId="42C10813" w:rsidR="0041483D" w:rsidRPr="00497184" w:rsidRDefault="00BC2417" w:rsidP="00BB3A54">
            <w:pPr>
              <w:spacing w:before="0" w:after="0" w:line="240" w:lineRule="auto"/>
              <w:rPr>
                <w:rFonts w:cs="Arial"/>
                <w:b/>
                <w:bCs/>
                <w:sz w:val="22"/>
              </w:rPr>
            </w:pPr>
            <w:r w:rsidRPr="00BC2417">
              <w:rPr>
                <w:rFonts w:cs="Arial"/>
                <w:sz w:val="22"/>
              </w:rPr>
              <w:br/>
            </w:r>
            <w:r w:rsidRPr="00497184">
              <w:rPr>
                <w:rFonts w:cs="Arial"/>
                <w:b/>
                <w:bCs/>
                <w:sz w:val="22"/>
              </w:rPr>
              <w:t>Meta: ≥ 95%</w:t>
            </w:r>
          </w:p>
          <w:p w14:paraId="143A97DD" w14:textId="77777777" w:rsidR="0041483D" w:rsidRDefault="0041483D" w:rsidP="00BB3A54">
            <w:pPr>
              <w:spacing w:before="0" w:after="0" w:line="240" w:lineRule="auto"/>
              <w:rPr>
                <w:rFonts w:cs="Arial"/>
                <w:b/>
                <w:bCs/>
                <w:sz w:val="22"/>
              </w:rPr>
            </w:pPr>
          </w:p>
          <w:p w14:paraId="15745A5D" w14:textId="77777777" w:rsidR="00304064" w:rsidRDefault="00304064" w:rsidP="00304064">
            <w:pPr>
              <w:spacing w:before="0" w:after="0" w:line="240" w:lineRule="auto"/>
              <w:rPr>
                <w:rStyle w:val="ui-provider"/>
                <w:rFonts w:cs="Arial"/>
                <w:b/>
                <w:bCs/>
                <w:sz w:val="22"/>
              </w:rPr>
            </w:pPr>
            <w:r w:rsidRPr="00304064">
              <w:rPr>
                <w:rStyle w:val="ui-provider"/>
                <w:rFonts w:cs="Arial"/>
                <w:b/>
                <w:bCs/>
                <w:sz w:val="22"/>
              </w:rPr>
              <w:t>Proporción de eventos de materialización de riesgos frente a alertas identificadas</w:t>
            </w:r>
          </w:p>
          <w:p w14:paraId="12C92930" w14:textId="77777777" w:rsidR="00304064" w:rsidRPr="00304064" w:rsidRDefault="00304064" w:rsidP="00304064">
            <w:pPr>
              <w:spacing w:before="0" w:after="0" w:line="240" w:lineRule="auto"/>
              <w:rPr>
                <w:rStyle w:val="ui-provider"/>
                <w:rFonts w:cs="Arial"/>
                <w:b/>
                <w:bCs/>
                <w:sz w:val="22"/>
              </w:rPr>
            </w:pPr>
          </w:p>
          <w:p w14:paraId="2BBB4F91" w14:textId="77777777" w:rsidR="00304064" w:rsidRDefault="00304064" w:rsidP="00304064">
            <w:pPr>
              <w:spacing w:before="0" w:after="0" w:line="240" w:lineRule="auto"/>
              <w:rPr>
                <w:rFonts w:cs="Arial"/>
                <w:sz w:val="22"/>
              </w:rPr>
            </w:pPr>
            <w:r w:rsidRPr="00304064">
              <w:rPr>
                <w:rFonts w:cs="Arial"/>
                <w:sz w:val="22"/>
              </w:rPr>
              <w:t xml:space="preserve">Fórmula: (Número de eventos de materialización </w:t>
            </w:r>
            <w:r w:rsidRPr="00304064">
              <w:rPr>
                <w:rFonts w:cs="Arial"/>
                <w:sz w:val="22"/>
              </w:rPr>
              <w:lastRenderedPageBreak/>
              <w:t>de riesgos / Total de alertas identificadas) × 100</w:t>
            </w:r>
          </w:p>
          <w:p w14:paraId="30B3A5D0" w14:textId="77777777" w:rsidR="00497184" w:rsidRPr="00304064" w:rsidRDefault="00497184" w:rsidP="00304064">
            <w:pPr>
              <w:spacing w:before="0" w:after="0" w:line="240" w:lineRule="auto"/>
              <w:rPr>
                <w:rFonts w:cs="Arial"/>
                <w:sz w:val="22"/>
              </w:rPr>
            </w:pPr>
          </w:p>
          <w:p w14:paraId="3BB5F60E" w14:textId="77777777" w:rsidR="00497184" w:rsidRDefault="00497184" w:rsidP="00304064">
            <w:pPr>
              <w:spacing w:before="0" w:after="0" w:line="240" w:lineRule="auto"/>
              <w:rPr>
                <w:rStyle w:val="ui-provider"/>
                <w:rFonts w:cs="Arial"/>
                <w:b/>
                <w:bCs/>
                <w:sz w:val="22"/>
              </w:rPr>
            </w:pPr>
            <w:r w:rsidRPr="00282656">
              <w:rPr>
                <w:rStyle w:val="ui-provider"/>
                <w:rFonts w:cs="Arial"/>
                <w:b/>
                <w:bCs/>
                <w:sz w:val="22"/>
              </w:rPr>
              <w:t>Meta:</w:t>
            </w:r>
            <w:r>
              <w:rPr>
                <w:rStyle w:val="ui-provider"/>
                <w:rFonts w:cs="Arial"/>
                <w:b/>
                <w:bCs/>
                <w:sz w:val="22"/>
              </w:rPr>
              <w:t>1</w:t>
            </w:r>
            <w:r w:rsidRPr="00282656">
              <w:rPr>
                <w:rStyle w:val="ui-provider"/>
                <w:rFonts w:cs="Arial"/>
                <w:b/>
                <w:bCs/>
                <w:sz w:val="22"/>
              </w:rPr>
              <w:t>00%</w:t>
            </w:r>
          </w:p>
          <w:p w14:paraId="6945CE6F" w14:textId="77777777" w:rsidR="00497184" w:rsidRDefault="00497184" w:rsidP="00304064">
            <w:pPr>
              <w:spacing w:before="0" w:after="0" w:line="240" w:lineRule="auto"/>
              <w:rPr>
                <w:rStyle w:val="ui-provider"/>
                <w:rFonts w:cs="Arial"/>
                <w:b/>
                <w:bCs/>
                <w:sz w:val="22"/>
              </w:rPr>
            </w:pPr>
          </w:p>
          <w:p w14:paraId="7B036E7F" w14:textId="4EAD4BE7" w:rsidR="00304064" w:rsidRPr="00304064" w:rsidRDefault="00304064" w:rsidP="00304064">
            <w:pPr>
              <w:spacing w:before="0" w:after="0" w:line="240" w:lineRule="auto"/>
              <w:rPr>
                <w:rStyle w:val="ui-provider"/>
                <w:rFonts w:cs="Arial"/>
                <w:b/>
                <w:bCs/>
                <w:sz w:val="22"/>
              </w:rPr>
            </w:pPr>
            <w:r w:rsidRPr="00304064">
              <w:rPr>
                <w:rStyle w:val="ui-provider"/>
                <w:rFonts w:cs="Arial"/>
                <w:b/>
                <w:bCs/>
                <w:sz w:val="22"/>
              </w:rPr>
              <w:t>Implementación de Planes de Mejoramiento frente a eventos de materialización de riesgos</w:t>
            </w:r>
          </w:p>
          <w:p w14:paraId="1D4CAF50" w14:textId="77777777" w:rsidR="00304064" w:rsidRPr="00304064" w:rsidRDefault="00304064" w:rsidP="00304064">
            <w:pPr>
              <w:spacing w:before="0" w:after="0" w:line="240" w:lineRule="auto"/>
              <w:rPr>
                <w:rStyle w:val="ui-provider"/>
                <w:rFonts w:cs="Arial"/>
                <w:sz w:val="22"/>
              </w:rPr>
            </w:pPr>
          </w:p>
          <w:p w14:paraId="4DB2EF5A" w14:textId="77777777" w:rsidR="00304064" w:rsidRPr="00304064" w:rsidRDefault="00304064" w:rsidP="00304064">
            <w:pPr>
              <w:spacing w:before="0" w:after="0" w:line="240" w:lineRule="auto"/>
              <w:rPr>
                <w:rFonts w:cs="Arial"/>
                <w:sz w:val="22"/>
              </w:rPr>
            </w:pPr>
            <w:r w:rsidRPr="00304064">
              <w:rPr>
                <w:rFonts w:cs="Arial"/>
                <w:sz w:val="22"/>
              </w:rPr>
              <w:t>Fórmula: (Número de Planes de Mejoramiento por evento de materialización de riesgos / Número de eventos de materialización de riesgos) × 100</w:t>
            </w:r>
          </w:p>
          <w:p w14:paraId="7412EF54" w14:textId="77777777" w:rsidR="00304064" w:rsidRDefault="00304064" w:rsidP="00BB3A54">
            <w:pPr>
              <w:spacing w:before="0" w:after="0" w:line="240" w:lineRule="auto"/>
              <w:rPr>
                <w:rFonts w:cs="Arial"/>
                <w:sz w:val="22"/>
              </w:rPr>
            </w:pPr>
          </w:p>
          <w:p w14:paraId="04641F55" w14:textId="63CF4B82" w:rsidR="00A71022" w:rsidRPr="00282656" w:rsidRDefault="00650454" w:rsidP="00650454">
            <w:pPr>
              <w:spacing w:before="0" w:after="0" w:line="240" w:lineRule="auto"/>
              <w:rPr>
                <w:rStyle w:val="ui-provider"/>
                <w:rFonts w:cs="Arial"/>
                <w:sz w:val="22"/>
              </w:rPr>
            </w:pPr>
            <w:r w:rsidRPr="00282656">
              <w:rPr>
                <w:rStyle w:val="ui-provider"/>
                <w:rFonts w:cs="Arial"/>
                <w:b/>
                <w:bCs/>
                <w:sz w:val="22"/>
              </w:rPr>
              <w:t>Meta:</w:t>
            </w:r>
            <w:r>
              <w:rPr>
                <w:rStyle w:val="ui-provider"/>
                <w:rFonts w:cs="Arial"/>
                <w:b/>
                <w:bCs/>
                <w:sz w:val="22"/>
              </w:rPr>
              <w:t>1</w:t>
            </w:r>
            <w:r w:rsidRPr="00282656">
              <w:rPr>
                <w:rStyle w:val="ui-provider"/>
                <w:rFonts w:cs="Arial"/>
                <w:b/>
                <w:bCs/>
                <w:sz w:val="22"/>
              </w:rPr>
              <w:t>00%</w:t>
            </w:r>
          </w:p>
        </w:tc>
      </w:tr>
      <w:tr w:rsidR="00BB3A54" w:rsidRPr="00375418" w14:paraId="5CCA15CB" w14:textId="77777777" w:rsidTr="007758F9">
        <w:tc>
          <w:tcPr>
            <w:tcW w:w="3256" w:type="dxa"/>
          </w:tcPr>
          <w:p w14:paraId="40ED50C4" w14:textId="738F5505" w:rsidR="00A71022" w:rsidRPr="00282656" w:rsidRDefault="00DF1E2F" w:rsidP="00BB3A54">
            <w:pPr>
              <w:spacing w:before="0" w:after="0" w:line="240" w:lineRule="auto"/>
              <w:rPr>
                <w:rStyle w:val="ui-provider"/>
                <w:rFonts w:cs="Arial"/>
                <w:sz w:val="22"/>
              </w:rPr>
            </w:pPr>
            <w:r w:rsidRPr="00282656">
              <w:rPr>
                <w:rStyle w:val="ui-provider"/>
                <w:rFonts w:cs="Arial"/>
                <w:sz w:val="22"/>
              </w:rPr>
              <w:lastRenderedPageBreak/>
              <w:t>La Supersalud tiene tolerancia cero hacia cualquier fraude, soborno o corrupción por parte de sus funcionarios y contratistas que participan en su trabajo.</w:t>
            </w:r>
          </w:p>
        </w:tc>
        <w:tc>
          <w:tcPr>
            <w:tcW w:w="2693" w:type="dxa"/>
          </w:tcPr>
          <w:p w14:paraId="6B404B96" w14:textId="13F6873F" w:rsidR="00A71022" w:rsidRPr="00282656" w:rsidRDefault="00AB427A" w:rsidP="0085318F">
            <w:pPr>
              <w:spacing w:before="0" w:after="0" w:line="240" w:lineRule="auto"/>
              <w:rPr>
                <w:rStyle w:val="ui-provider"/>
                <w:rFonts w:cs="Arial"/>
                <w:i/>
                <w:iCs/>
                <w:sz w:val="22"/>
              </w:rPr>
            </w:pPr>
            <w:r>
              <w:rPr>
                <w:rFonts w:cs="Arial"/>
                <w:sz w:val="22"/>
              </w:rPr>
              <w:t>Gestionar</w:t>
            </w:r>
            <w:r w:rsidR="00375418" w:rsidRPr="00375418">
              <w:rPr>
                <w:rFonts w:cs="Arial"/>
                <w:sz w:val="22"/>
              </w:rPr>
              <w:t xml:space="preserve"> que todos los casos reportados sean investigados y gestionados.</w:t>
            </w:r>
          </w:p>
        </w:tc>
        <w:tc>
          <w:tcPr>
            <w:tcW w:w="2977" w:type="dxa"/>
          </w:tcPr>
          <w:p w14:paraId="30BCA2C2" w14:textId="6B301401" w:rsidR="002E0237" w:rsidRPr="00282656" w:rsidRDefault="00BE4077" w:rsidP="00BB3A54">
            <w:pPr>
              <w:spacing w:before="0" w:after="0" w:line="240" w:lineRule="auto"/>
              <w:rPr>
                <w:rFonts w:cs="Arial"/>
                <w:b/>
                <w:bCs/>
                <w:sz w:val="22"/>
              </w:rPr>
            </w:pPr>
            <w:r>
              <w:rPr>
                <w:rStyle w:val="ui-provider"/>
                <w:rFonts w:cs="Arial"/>
                <w:b/>
                <w:bCs/>
                <w:sz w:val="22"/>
              </w:rPr>
              <w:t>Porcentaje</w:t>
            </w:r>
            <w:r w:rsidR="00375418" w:rsidRPr="00375418">
              <w:rPr>
                <w:rFonts w:cs="Arial"/>
                <w:b/>
                <w:bCs/>
                <w:sz w:val="22"/>
              </w:rPr>
              <w:t xml:space="preserve"> de denuncias de presunto</w:t>
            </w:r>
            <w:r w:rsidR="00C1632A">
              <w:rPr>
                <w:rFonts w:cs="Arial"/>
                <w:b/>
                <w:bCs/>
                <w:sz w:val="22"/>
              </w:rPr>
              <w:t>s actos de c</w:t>
            </w:r>
            <w:r w:rsidR="00375418" w:rsidRPr="00375418">
              <w:rPr>
                <w:rFonts w:cs="Arial"/>
                <w:b/>
                <w:bCs/>
                <w:sz w:val="22"/>
              </w:rPr>
              <w:t>orrupción atendidas dentro del plazo establecido</w:t>
            </w:r>
          </w:p>
          <w:p w14:paraId="68DBD4F4" w14:textId="77777777" w:rsidR="0041483D" w:rsidRDefault="0041483D" w:rsidP="00BB3A54">
            <w:pPr>
              <w:spacing w:before="0" w:after="0" w:line="240" w:lineRule="auto"/>
              <w:rPr>
                <w:rFonts w:cs="Arial"/>
                <w:sz w:val="22"/>
              </w:rPr>
            </w:pPr>
          </w:p>
          <w:p w14:paraId="4FA646CF" w14:textId="77777777" w:rsidR="00650454" w:rsidRDefault="00375418" w:rsidP="00BB3A54">
            <w:pPr>
              <w:spacing w:before="0" w:after="0" w:line="240" w:lineRule="auto"/>
              <w:rPr>
                <w:rFonts w:cs="Arial"/>
                <w:sz w:val="22"/>
              </w:rPr>
            </w:pPr>
            <w:r w:rsidRPr="00375418">
              <w:rPr>
                <w:rFonts w:cs="Arial"/>
                <w:sz w:val="22"/>
              </w:rPr>
              <w:t>Fórmula: (Denuncias atendidas oportunamente / Total de denuncias recibidas) × 100</w:t>
            </w:r>
          </w:p>
          <w:p w14:paraId="3411CD77" w14:textId="155742B1" w:rsidR="00375418" w:rsidRPr="00375418" w:rsidRDefault="00375418" w:rsidP="00BB3A54">
            <w:pPr>
              <w:spacing w:before="0" w:after="0" w:line="240" w:lineRule="auto"/>
              <w:rPr>
                <w:rFonts w:cs="Arial"/>
                <w:sz w:val="22"/>
              </w:rPr>
            </w:pPr>
            <w:r w:rsidRPr="00375418">
              <w:rPr>
                <w:rFonts w:cs="Arial"/>
                <w:sz w:val="22"/>
              </w:rPr>
              <w:br/>
            </w:r>
            <w:r w:rsidR="00650454" w:rsidRPr="00282656">
              <w:rPr>
                <w:rStyle w:val="ui-provider"/>
                <w:rFonts w:cs="Arial"/>
                <w:b/>
                <w:bCs/>
                <w:sz w:val="22"/>
              </w:rPr>
              <w:t>Meta:</w:t>
            </w:r>
            <w:r w:rsidR="00650454">
              <w:rPr>
                <w:rStyle w:val="ui-provider"/>
                <w:rFonts w:cs="Arial"/>
                <w:b/>
                <w:bCs/>
                <w:sz w:val="22"/>
              </w:rPr>
              <w:t>1</w:t>
            </w:r>
            <w:r w:rsidR="00650454" w:rsidRPr="00282656">
              <w:rPr>
                <w:rStyle w:val="ui-provider"/>
                <w:rFonts w:cs="Arial"/>
                <w:b/>
                <w:bCs/>
                <w:sz w:val="22"/>
              </w:rPr>
              <w:t>00%</w:t>
            </w:r>
          </w:p>
          <w:p w14:paraId="6DCA9733" w14:textId="77777777" w:rsidR="0041483D" w:rsidRDefault="0041483D" w:rsidP="00BB3A54">
            <w:pPr>
              <w:spacing w:before="0" w:after="0" w:line="240" w:lineRule="auto"/>
              <w:rPr>
                <w:rFonts w:cs="Arial"/>
                <w:sz w:val="22"/>
              </w:rPr>
            </w:pPr>
          </w:p>
          <w:p w14:paraId="20AAA226" w14:textId="77777777" w:rsidR="00C50E0F" w:rsidRPr="00C50E0F" w:rsidRDefault="00C50E0F" w:rsidP="00C50E0F">
            <w:pPr>
              <w:spacing w:before="0" w:after="0" w:line="240" w:lineRule="auto"/>
              <w:rPr>
                <w:rStyle w:val="ui-provider"/>
                <w:rFonts w:cs="Arial"/>
                <w:b/>
                <w:bCs/>
                <w:sz w:val="22"/>
              </w:rPr>
            </w:pPr>
            <w:r w:rsidRPr="00C50E0F">
              <w:rPr>
                <w:rStyle w:val="ui-provider"/>
                <w:rFonts w:cs="Arial"/>
                <w:b/>
                <w:bCs/>
                <w:sz w:val="22"/>
              </w:rPr>
              <w:t>Proporción de Denuncias Interpuestas ante Entidades Competentes frente a Alertas Emitidas</w:t>
            </w:r>
          </w:p>
          <w:p w14:paraId="479EFB09" w14:textId="77777777" w:rsidR="00C50E0F" w:rsidRDefault="00C50E0F" w:rsidP="00C50E0F">
            <w:pPr>
              <w:spacing w:before="0" w:after="0" w:line="240" w:lineRule="auto"/>
              <w:rPr>
                <w:rStyle w:val="ui-provider"/>
                <w:rFonts w:cs="Arial"/>
                <w:sz w:val="22"/>
              </w:rPr>
            </w:pPr>
          </w:p>
          <w:p w14:paraId="4D1B602C" w14:textId="249D7505" w:rsidR="00C50E0F" w:rsidRDefault="00C50E0F" w:rsidP="00C50E0F">
            <w:pPr>
              <w:spacing w:before="0" w:after="0" w:line="240" w:lineRule="auto"/>
              <w:rPr>
                <w:rStyle w:val="ui-provider"/>
                <w:rFonts w:cs="Arial"/>
                <w:sz w:val="22"/>
              </w:rPr>
            </w:pPr>
            <w:r w:rsidRPr="00C50E0F">
              <w:rPr>
                <w:rStyle w:val="ui-provider"/>
                <w:rFonts w:cs="Arial"/>
                <w:sz w:val="22"/>
              </w:rPr>
              <w:t>Fórmula: (Número de denuncias interpuestas ante entidades competentes / Número total de alertas objeto de denuncia emitidas) × 100</w:t>
            </w:r>
          </w:p>
          <w:p w14:paraId="1DCF54E4" w14:textId="77777777" w:rsidR="00650454" w:rsidRPr="00C50E0F" w:rsidRDefault="00650454" w:rsidP="00C50E0F">
            <w:pPr>
              <w:spacing w:before="0" w:after="0" w:line="240" w:lineRule="auto"/>
              <w:rPr>
                <w:rStyle w:val="ui-provider"/>
                <w:rFonts w:cs="Arial"/>
                <w:sz w:val="22"/>
              </w:rPr>
            </w:pPr>
          </w:p>
          <w:p w14:paraId="1CA0B846" w14:textId="01E32F5A" w:rsidR="009248E5" w:rsidRPr="00282656" w:rsidRDefault="00650454" w:rsidP="00C50E0F">
            <w:pPr>
              <w:spacing w:before="0" w:after="0" w:line="240" w:lineRule="auto"/>
              <w:rPr>
                <w:rStyle w:val="ui-provider"/>
                <w:rFonts w:cs="Arial"/>
                <w:sz w:val="22"/>
              </w:rPr>
            </w:pPr>
            <w:r w:rsidRPr="00282656">
              <w:rPr>
                <w:rStyle w:val="ui-provider"/>
                <w:rFonts w:cs="Arial"/>
                <w:b/>
                <w:bCs/>
                <w:sz w:val="22"/>
              </w:rPr>
              <w:t>Meta:</w:t>
            </w:r>
            <w:r>
              <w:rPr>
                <w:rStyle w:val="ui-provider"/>
                <w:rFonts w:cs="Arial"/>
                <w:b/>
                <w:bCs/>
                <w:sz w:val="22"/>
              </w:rPr>
              <w:t>1</w:t>
            </w:r>
            <w:r w:rsidRPr="00282656">
              <w:rPr>
                <w:rStyle w:val="ui-provider"/>
                <w:rFonts w:cs="Arial"/>
                <w:b/>
                <w:bCs/>
                <w:sz w:val="22"/>
              </w:rPr>
              <w:t>00%</w:t>
            </w:r>
          </w:p>
        </w:tc>
      </w:tr>
      <w:tr w:rsidR="004655B0" w:rsidRPr="00375418" w14:paraId="4813F8F9" w14:textId="77777777" w:rsidTr="007758F9">
        <w:tc>
          <w:tcPr>
            <w:tcW w:w="3256" w:type="dxa"/>
          </w:tcPr>
          <w:p w14:paraId="6FEB9F92" w14:textId="78D9E208" w:rsidR="00A71022" w:rsidRPr="00282656" w:rsidRDefault="00BB3A54" w:rsidP="004655B0">
            <w:pPr>
              <w:spacing w:before="0" w:after="0" w:line="240" w:lineRule="auto"/>
              <w:rPr>
                <w:rStyle w:val="ui-provider"/>
                <w:rFonts w:cs="Arial"/>
                <w:sz w:val="22"/>
              </w:rPr>
            </w:pPr>
            <w:r w:rsidRPr="00282656">
              <w:rPr>
                <w:rStyle w:val="ui-provider"/>
                <w:rFonts w:cs="Arial"/>
                <w:sz w:val="22"/>
              </w:rPr>
              <w:lastRenderedPageBreak/>
              <w:t>Identificar y declarar oportunamente conflictos reales, potenciales o aparentes.</w:t>
            </w:r>
          </w:p>
        </w:tc>
        <w:tc>
          <w:tcPr>
            <w:tcW w:w="2693" w:type="dxa"/>
          </w:tcPr>
          <w:p w14:paraId="3D5587C5" w14:textId="6B5EBD17" w:rsidR="00A71022" w:rsidRPr="00282656" w:rsidRDefault="00406DAE" w:rsidP="004655B0">
            <w:pPr>
              <w:spacing w:before="0" w:after="0" w:line="240" w:lineRule="auto"/>
              <w:rPr>
                <w:rStyle w:val="ui-provider"/>
                <w:rFonts w:cs="Arial"/>
                <w:sz w:val="22"/>
              </w:rPr>
            </w:pPr>
            <w:r>
              <w:rPr>
                <w:rStyle w:val="ui-provider"/>
                <w:rFonts w:cs="Arial"/>
                <w:sz w:val="22"/>
              </w:rPr>
              <w:t>G</w:t>
            </w:r>
            <w:r>
              <w:rPr>
                <w:rStyle w:val="ui-provider"/>
              </w:rPr>
              <w:t>estionar</w:t>
            </w:r>
            <w:r w:rsidR="00477A8A" w:rsidRPr="00282656">
              <w:rPr>
                <w:rStyle w:val="ui-provider"/>
                <w:rFonts w:cs="Arial"/>
                <w:sz w:val="22"/>
              </w:rPr>
              <w:t xml:space="preserve"> que todos los servidores y contratistas identifiquen, reporten y gestionen oportunamente cualquier conflicto de interés real, potencial o aparente</w:t>
            </w:r>
            <w:r w:rsidR="00F75E04" w:rsidRPr="00282656">
              <w:rPr>
                <w:rStyle w:val="ui-provider"/>
                <w:rFonts w:cs="Arial"/>
                <w:sz w:val="22"/>
              </w:rPr>
              <w:t>.</w:t>
            </w:r>
          </w:p>
        </w:tc>
        <w:tc>
          <w:tcPr>
            <w:tcW w:w="2977" w:type="dxa"/>
          </w:tcPr>
          <w:p w14:paraId="7B7D0FA4" w14:textId="55AEC142" w:rsidR="00680C05" w:rsidRPr="00282656" w:rsidRDefault="00BE4077" w:rsidP="004655B0">
            <w:pPr>
              <w:spacing w:before="0" w:after="0" w:line="240" w:lineRule="auto"/>
              <w:rPr>
                <w:rFonts w:cs="Arial"/>
                <w:b/>
                <w:bCs/>
                <w:sz w:val="22"/>
              </w:rPr>
            </w:pPr>
            <w:r>
              <w:rPr>
                <w:rStyle w:val="ui-provider"/>
                <w:rFonts w:cs="Arial"/>
                <w:b/>
                <w:bCs/>
                <w:sz w:val="22"/>
              </w:rPr>
              <w:t>Porcentaje</w:t>
            </w:r>
            <w:r w:rsidR="00FA4ECB" w:rsidRPr="00FA4ECB">
              <w:rPr>
                <w:rFonts w:cs="Arial"/>
                <w:b/>
                <w:bCs/>
                <w:sz w:val="22"/>
              </w:rPr>
              <w:t xml:space="preserve"> de funcionarios y contratistas que realizan la declaración anual de conflicto de interés dentro del plazo establecido</w:t>
            </w:r>
          </w:p>
          <w:p w14:paraId="661E1C24" w14:textId="77777777" w:rsidR="0041483D" w:rsidRDefault="0041483D" w:rsidP="004655B0">
            <w:pPr>
              <w:spacing w:before="0" w:after="0" w:line="240" w:lineRule="auto"/>
              <w:rPr>
                <w:rFonts w:cs="Arial"/>
                <w:sz w:val="22"/>
              </w:rPr>
            </w:pPr>
          </w:p>
          <w:p w14:paraId="13B76C56" w14:textId="385F0FE6" w:rsidR="00DE54ED" w:rsidRDefault="00FA4ECB" w:rsidP="004655B0">
            <w:pPr>
              <w:spacing w:before="0" w:after="0" w:line="240" w:lineRule="auto"/>
              <w:rPr>
                <w:rFonts w:cs="Arial"/>
                <w:sz w:val="22"/>
              </w:rPr>
            </w:pPr>
            <w:r w:rsidRPr="00FA4ECB">
              <w:rPr>
                <w:rFonts w:cs="Arial"/>
                <w:sz w:val="22"/>
              </w:rPr>
              <w:t xml:space="preserve">Fórmula: (Declaraciones presentadas oportunamente / Total de </w:t>
            </w:r>
            <w:r w:rsidR="00E406BC">
              <w:rPr>
                <w:rFonts w:cs="Arial"/>
                <w:sz w:val="22"/>
              </w:rPr>
              <w:t>declaraciones presentadas</w:t>
            </w:r>
            <w:r w:rsidRPr="00FA4ECB">
              <w:rPr>
                <w:rFonts w:cs="Arial"/>
                <w:sz w:val="22"/>
              </w:rPr>
              <w:t>) × 100</w:t>
            </w:r>
          </w:p>
          <w:p w14:paraId="544A6B11" w14:textId="77777777" w:rsidR="0085318F" w:rsidRDefault="0085318F" w:rsidP="0085318F">
            <w:pPr>
              <w:spacing w:before="0" w:after="0" w:line="240" w:lineRule="auto"/>
              <w:rPr>
                <w:rFonts w:cs="Arial"/>
                <w:sz w:val="22"/>
              </w:rPr>
            </w:pPr>
          </w:p>
          <w:p w14:paraId="1546616B" w14:textId="198B8A3D" w:rsidR="00A71022" w:rsidRPr="00282656" w:rsidRDefault="00650454" w:rsidP="0085318F">
            <w:pPr>
              <w:spacing w:before="0" w:after="0" w:line="240" w:lineRule="auto"/>
              <w:rPr>
                <w:rStyle w:val="ui-provider"/>
                <w:rFonts w:cs="Arial"/>
                <w:i/>
                <w:iCs/>
                <w:sz w:val="22"/>
              </w:rPr>
            </w:pPr>
            <w:r w:rsidRPr="00282656">
              <w:rPr>
                <w:rStyle w:val="ui-provider"/>
                <w:rFonts w:cs="Arial"/>
                <w:b/>
                <w:bCs/>
                <w:sz w:val="22"/>
              </w:rPr>
              <w:t>Meta:</w:t>
            </w:r>
            <w:r>
              <w:rPr>
                <w:rStyle w:val="ui-provider"/>
                <w:rFonts w:cs="Arial"/>
                <w:b/>
                <w:bCs/>
                <w:sz w:val="22"/>
              </w:rPr>
              <w:t>1</w:t>
            </w:r>
            <w:r w:rsidRPr="00282656">
              <w:rPr>
                <w:rStyle w:val="ui-provider"/>
                <w:rFonts w:cs="Arial"/>
                <w:b/>
                <w:bCs/>
                <w:sz w:val="22"/>
              </w:rPr>
              <w:t>00%</w:t>
            </w:r>
          </w:p>
        </w:tc>
      </w:tr>
      <w:tr w:rsidR="004655B0" w:rsidRPr="00375418" w14:paraId="10717A84" w14:textId="77777777" w:rsidTr="007758F9">
        <w:tc>
          <w:tcPr>
            <w:tcW w:w="3256" w:type="dxa"/>
          </w:tcPr>
          <w:p w14:paraId="41433DA7" w14:textId="6731798E" w:rsidR="00A71022" w:rsidRPr="00282656" w:rsidRDefault="00BB3A54" w:rsidP="004655B0">
            <w:pPr>
              <w:spacing w:before="0" w:after="0" w:line="240" w:lineRule="auto"/>
              <w:rPr>
                <w:rStyle w:val="ui-provider"/>
                <w:rFonts w:cs="Arial"/>
                <w:sz w:val="22"/>
              </w:rPr>
            </w:pPr>
            <w:r w:rsidRPr="00282656">
              <w:rPr>
                <w:rStyle w:val="ui-provider"/>
                <w:rFonts w:cs="Arial"/>
                <w:sz w:val="22"/>
              </w:rPr>
              <w:t>Prohibir recibir u ofrecer cualquier tipo de regalo, donación, hospitalidad o beneficio en relación con las funciones de los servidores públicos de la Supersalud, que pudiera razonablemente ser percibido como un soborno.</w:t>
            </w:r>
          </w:p>
        </w:tc>
        <w:tc>
          <w:tcPr>
            <w:tcW w:w="2693" w:type="dxa"/>
          </w:tcPr>
          <w:p w14:paraId="4BA0F74D" w14:textId="192B9C12" w:rsidR="00A71022" w:rsidRPr="00282656" w:rsidRDefault="00FA4ECB" w:rsidP="0085318F">
            <w:pPr>
              <w:spacing w:before="0" w:after="0" w:line="240" w:lineRule="auto"/>
              <w:rPr>
                <w:rStyle w:val="ui-provider"/>
                <w:rFonts w:cs="Arial"/>
                <w:i/>
                <w:iCs/>
                <w:sz w:val="22"/>
              </w:rPr>
            </w:pPr>
            <w:r w:rsidRPr="00FA4ECB">
              <w:rPr>
                <w:rFonts w:cs="Arial"/>
                <w:sz w:val="22"/>
              </w:rPr>
              <w:t>Evitar que los servidores o terceros ofrezcan o reciban regalos, beneficios o atenciones que puedan interpretarse como soborno</w:t>
            </w:r>
            <w:r w:rsidR="00601330" w:rsidRPr="00282656">
              <w:rPr>
                <w:rFonts w:cs="Arial"/>
                <w:sz w:val="22"/>
              </w:rPr>
              <w:t>.</w:t>
            </w:r>
          </w:p>
        </w:tc>
        <w:tc>
          <w:tcPr>
            <w:tcW w:w="2977" w:type="dxa"/>
          </w:tcPr>
          <w:p w14:paraId="45C52BE4" w14:textId="77777777" w:rsidR="00601330" w:rsidRPr="00282656" w:rsidRDefault="00FA4ECB" w:rsidP="004655B0">
            <w:pPr>
              <w:spacing w:before="0" w:after="0" w:line="240" w:lineRule="auto"/>
              <w:rPr>
                <w:rFonts w:cs="Arial"/>
                <w:b/>
                <w:bCs/>
                <w:sz w:val="22"/>
              </w:rPr>
            </w:pPr>
            <w:r w:rsidRPr="00FA4ECB">
              <w:rPr>
                <w:rFonts w:cs="Arial"/>
                <w:b/>
                <w:bCs/>
                <w:sz w:val="22"/>
              </w:rPr>
              <w:t>Número de incidentes o investigaciones relacionadas con ofrecimiento o recepción indebida de beneficios</w:t>
            </w:r>
          </w:p>
          <w:p w14:paraId="73CB8393" w14:textId="77777777" w:rsidR="0085318F" w:rsidRDefault="0085318F" w:rsidP="004655B0">
            <w:pPr>
              <w:spacing w:before="0" w:after="0" w:line="240" w:lineRule="auto"/>
              <w:rPr>
                <w:rFonts w:cs="Arial"/>
                <w:sz w:val="22"/>
              </w:rPr>
            </w:pPr>
          </w:p>
          <w:p w14:paraId="793C1152" w14:textId="63F01FF8" w:rsidR="00A71022" w:rsidRPr="0034592A" w:rsidRDefault="00FA4ECB" w:rsidP="0085318F">
            <w:pPr>
              <w:spacing w:before="0" w:after="0" w:line="240" w:lineRule="auto"/>
              <w:rPr>
                <w:rStyle w:val="ui-provider"/>
                <w:rFonts w:cs="Arial"/>
                <w:b/>
                <w:bCs/>
                <w:sz w:val="22"/>
              </w:rPr>
            </w:pPr>
            <w:r w:rsidRPr="0034592A">
              <w:rPr>
                <w:rFonts w:cs="Arial"/>
                <w:b/>
                <w:bCs/>
                <w:sz w:val="22"/>
              </w:rPr>
              <w:t>Meta: 0 incidentes por año</w:t>
            </w:r>
          </w:p>
        </w:tc>
      </w:tr>
      <w:tr w:rsidR="00BB3A54" w:rsidRPr="00375418" w14:paraId="36D11772" w14:textId="77777777" w:rsidTr="007758F9">
        <w:tc>
          <w:tcPr>
            <w:tcW w:w="3256" w:type="dxa"/>
          </w:tcPr>
          <w:p w14:paraId="1EAAD8FC" w14:textId="7B7C20BA" w:rsidR="00BB3A54" w:rsidRPr="00282656" w:rsidRDefault="00C941AC" w:rsidP="004655B0">
            <w:pPr>
              <w:spacing w:before="0" w:after="0" w:line="240" w:lineRule="auto"/>
              <w:rPr>
                <w:rStyle w:val="ui-provider"/>
                <w:rFonts w:cs="Arial"/>
                <w:sz w:val="22"/>
              </w:rPr>
            </w:pPr>
            <w:r w:rsidRPr="00282656">
              <w:rPr>
                <w:rStyle w:val="ui-provider"/>
                <w:rFonts w:cs="Arial"/>
                <w:sz w:val="22"/>
              </w:rPr>
              <w:t>Fomentar la cultura de riesgo y control, en las actuaciones de los colaboradores de la Entidad, promoviendo el desarrollo de actividades de seguimiento de manera sistemática, bajo el esquema de líneas de defensa y los principios de transparencia y ética pública.</w:t>
            </w:r>
          </w:p>
        </w:tc>
        <w:tc>
          <w:tcPr>
            <w:tcW w:w="2693" w:type="dxa"/>
          </w:tcPr>
          <w:p w14:paraId="1B52F28C" w14:textId="4ADD609F" w:rsidR="00BB3A54" w:rsidRPr="00282656" w:rsidRDefault="00FA4ECB" w:rsidP="0085318F">
            <w:pPr>
              <w:spacing w:before="0" w:after="0" w:line="240" w:lineRule="auto"/>
              <w:rPr>
                <w:rStyle w:val="ui-provider"/>
                <w:rFonts w:cs="Arial"/>
                <w:i/>
                <w:iCs/>
                <w:sz w:val="22"/>
              </w:rPr>
            </w:pPr>
            <w:r w:rsidRPr="00FA4ECB">
              <w:rPr>
                <w:rFonts w:cs="Arial"/>
                <w:sz w:val="22"/>
              </w:rPr>
              <w:t>Fortalecer el cumplimiento normativo en materia de prevención del soborno y la corrupción, promoviendo la implementación de controles</w:t>
            </w:r>
            <w:r w:rsidR="00BC4AD4" w:rsidRPr="00282656">
              <w:rPr>
                <w:rFonts w:cs="Arial"/>
                <w:sz w:val="22"/>
              </w:rPr>
              <w:t>.</w:t>
            </w:r>
          </w:p>
        </w:tc>
        <w:tc>
          <w:tcPr>
            <w:tcW w:w="2977" w:type="dxa"/>
          </w:tcPr>
          <w:p w14:paraId="5A3AD34C" w14:textId="626E2305" w:rsidR="00F24B17" w:rsidRPr="00282656" w:rsidRDefault="00BE4077" w:rsidP="004655B0">
            <w:pPr>
              <w:spacing w:before="0" w:after="0" w:line="240" w:lineRule="auto"/>
              <w:rPr>
                <w:rFonts w:cs="Arial"/>
                <w:b/>
                <w:bCs/>
                <w:sz w:val="22"/>
              </w:rPr>
            </w:pPr>
            <w:r>
              <w:rPr>
                <w:rStyle w:val="ui-provider"/>
                <w:rFonts w:cs="Arial"/>
                <w:b/>
                <w:bCs/>
                <w:sz w:val="22"/>
              </w:rPr>
              <w:t>Porcentaje</w:t>
            </w:r>
            <w:r w:rsidR="00FA4ECB" w:rsidRPr="00FA4ECB">
              <w:rPr>
                <w:rFonts w:cs="Arial"/>
                <w:b/>
                <w:bCs/>
                <w:sz w:val="22"/>
              </w:rPr>
              <w:t xml:space="preserve"> de servidores y contratistas capacitados en </w:t>
            </w:r>
            <w:r w:rsidR="00F24B17" w:rsidRPr="00282656">
              <w:rPr>
                <w:rFonts w:cs="Arial"/>
                <w:b/>
                <w:bCs/>
                <w:sz w:val="22"/>
              </w:rPr>
              <w:t>temas</w:t>
            </w:r>
            <w:r w:rsidR="00FA4ECB" w:rsidRPr="00FA4ECB">
              <w:rPr>
                <w:rFonts w:cs="Arial"/>
                <w:b/>
                <w:bCs/>
                <w:sz w:val="22"/>
              </w:rPr>
              <w:t xml:space="preserve"> </w:t>
            </w:r>
            <w:r w:rsidR="006E519B">
              <w:rPr>
                <w:rFonts w:cs="Arial"/>
                <w:b/>
                <w:bCs/>
                <w:sz w:val="22"/>
              </w:rPr>
              <w:t>de integridad</w:t>
            </w:r>
          </w:p>
          <w:p w14:paraId="1E191F7B" w14:textId="77777777" w:rsidR="0085318F" w:rsidRDefault="0085318F" w:rsidP="004655B0">
            <w:pPr>
              <w:spacing w:before="0" w:after="0" w:line="240" w:lineRule="auto"/>
              <w:rPr>
                <w:rFonts w:cs="Arial"/>
                <w:sz w:val="22"/>
              </w:rPr>
            </w:pPr>
          </w:p>
          <w:p w14:paraId="5D78FE62" w14:textId="0D3AA6AE" w:rsidR="00F24B17" w:rsidRDefault="00FA4ECB" w:rsidP="004655B0">
            <w:pPr>
              <w:spacing w:before="0" w:after="0" w:line="240" w:lineRule="auto"/>
              <w:rPr>
                <w:rFonts w:cs="Arial"/>
                <w:sz w:val="22"/>
              </w:rPr>
            </w:pPr>
            <w:r w:rsidRPr="00FA4ECB">
              <w:rPr>
                <w:rFonts w:cs="Arial"/>
                <w:sz w:val="22"/>
              </w:rPr>
              <w:t>Fórmula: (Personas capacitadas / Total de personas obligadas) × 100</w:t>
            </w:r>
          </w:p>
          <w:p w14:paraId="70C9BF85" w14:textId="77777777" w:rsidR="0034592A" w:rsidRPr="00282656" w:rsidRDefault="0034592A" w:rsidP="004655B0">
            <w:pPr>
              <w:spacing w:before="0" w:after="0" w:line="240" w:lineRule="auto"/>
              <w:rPr>
                <w:rFonts w:cs="Arial"/>
                <w:sz w:val="22"/>
              </w:rPr>
            </w:pPr>
          </w:p>
          <w:p w14:paraId="2D1B69B1" w14:textId="77777777" w:rsidR="00BB3A54" w:rsidRPr="0034592A" w:rsidRDefault="00FA4ECB" w:rsidP="0085318F">
            <w:pPr>
              <w:spacing w:before="0" w:after="0" w:line="240" w:lineRule="auto"/>
              <w:rPr>
                <w:rFonts w:cs="Arial"/>
                <w:b/>
                <w:bCs/>
                <w:sz w:val="22"/>
              </w:rPr>
            </w:pPr>
            <w:r w:rsidRPr="0034592A">
              <w:rPr>
                <w:rFonts w:cs="Arial"/>
                <w:b/>
                <w:bCs/>
                <w:sz w:val="22"/>
              </w:rPr>
              <w:t>Meta: ≥ 90%</w:t>
            </w:r>
          </w:p>
          <w:p w14:paraId="4D0F7A3E" w14:textId="77777777" w:rsidR="00896B5B" w:rsidRDefault="00896B5B" w:rsidP="0085318F">
            <w:pPr>
              <w:spacing w:before="0" w:after="0" w:line="240" w:lineRule="auto"/>
              <w:rPr>
                <w:rStyle w:val="ui-provider"/>
                <w:rFonts w:cs="Arial"/>
                <w:i/>
                <w:iCs/>
                <w:sz w:val="22"/>
              </w:rPr>
            </w:pPr>
          </w:p>
          <w:p w14:paraId="51B7E944" w14:textId="77777777" w:rsidR="00896B5B" w:rsidRDefault="00896B5B" w:rsidP="00896B5B">
            <w:pPr>
              <w:spacing w:before="0" w:after="0" w:line="240" w:lineRule="auto"/>
              <w:rPr>
                <w:rStyle w:val="ui-provider"/>
                <w:rFonts w:cs="Arial"/>
                <w:b/>
                <w:bCs/>
                <w:sz w:val="22"/>
              </w:rPr>
            </w:pPr>
            <w:r w:rsidRPr="00896B5B">
              <w:rPr>
                <w:rStyle w:val="ui-provider"/>
                <w:rFonts w:cs="Arial"/>
                <w:b/>
                <w:bCs/>
                <w:sz w:val="22"/>
              </w:rPr>
              <w:t>Hallazgos por Incumplimiento a la Política de Gestión del Riesgo</w:t>
            </w:r>
          </w:p>
          <w:p w14:paraId="697343DC" w14:textId="77777777" w:rsidR="00896B5B" w:rsidRPr="00896B5B" w:rsidRDefault="00896B5B" w:rsidP="00896B5B">
            <w:pPr>
              <w:spacing w:before="0" w:after="0" w:line="240" w:lineRule="auto"/>
              <w:rPr>
                <w:rStyle w:val="ui-provider"/>
                <w:rFonts w:cs="Arial"/>
                <w:b/>
                <w:bCs/>
                <w:sz w:val="22"/>
              </w:rPr>
            </w:pPr>
          </w:p>
          <w:p w14:paraId="177CC75F" w14:textId="77777777" w:rsidR="00896B5B" w:rsidRDefault="00896B5B" w:rsidP="00896B5B">
            <w:pPr>
              <w:spacing w:before="0" w:after="0" w:line="240" w:lineRule="auto"/>
              <w:rPr>
                <w:sz w:val="22"/>
                <w:szCs w:val="20"/>
              </w:rPr>
            </w:pPr>
            <w:r w:rsidRPr="00896B5B">
              <w:rPr>
                <w:sz w:val="22"/>
                <w:szCs w:val="20"/>
              </w:rPr>
              <w:t xml:space="preserve">Fórmula: Número de hallazgos=Total de hallazgos emitidos por entes de control u Oficina de Control Interno asociados al incumplimiento </w:t>
            </w:r>
            <w:r w:rsidRPr="00896B5B">
              <w:rPr>
                <w:sz w:val="22"/>
                <w:szCs w:val="20"/>
              </w:rPr>
              <w:lastRenderedPageBreak/>
              <w:t>de la política de gestión del riesgo</w:t>
            </w:r>
          </w:p>
          <w:p w14:paraId="595F7DE0" w14:textId="77777777" w:rsidR="0034592A" w:rsidRPr="00896B5B" w:rsidRDefault="0034592A" w:rsidP="00896B5B">
            <w:pPr>
              <w:spacing w:before="0" w:after="0" w:line="240" w:lineRule="auto"/>
              <w:rPr>
                <w:sz w:val="22"/>
                <w:szCs w:val="20"/>
              </w:rPr>
            </w:pPr>
          </w:p>
          <w:p w14:paraId="28F9500B" w14:textId="77777777" w:rsidR="00896B5B" w:rsidRPr="0034592A" w:rsidRDefault="00896B5B" w:rsidP="00896B5B">
            <w:pPr>
              <w:spacing w:before="0" w:after="0" w:line="240" w:lineRule="auto"/>
              <w:rPr>
                <w:b/>
                <w:bCs/>
                <w:sz w:val="22"/>
                <w:szCs w:val="20"/>
              </w:rPr>
            </w:pPr>
            <w:r w:rsidRPr="0034592A">
              <w:rPr>
                <w:b/>
                <w:bCs/>
                <w:sz w:val="22"/>
                <w:szCs w:val="20"/>
              </w:rPr>
              <w:t>Meta: 0 hallazgos</w:t>
            </w:r>
          </w:p>
          <w:p w14:paraId="582D856E" w14:textId="77777777" w:rsidR="00896B5B" w:rsidRPr="00896B5B" w:rsidRDefault="00896B5B" w:rsidP="00896B5B">
            <w:pPr>
              <w:spacing w:before="0" w:after="0" w:line="240" w:lineRule="auto"/>
              <w:rPr>
                <w:rStyle w:val="ui-provider"/>
                <w:rFonts w:cs="Arial"/>
                <w:i/>
                <w:iCs/>
                <w:sz w:val="22"/>
              </w:rPr>
            </w:pPr>
          </w:p>
          <w:p w14:paraId="7F80893D" w14:textId="77777777" w:rsidR="00896B5B" w:rsidRPr="00896B5B" w:rsidRDefault="00896B5B" w:rsidP="00896B5B">
            <w:pPr>
              <w:spacing w:before="0" w:after="0" w:line="240" w:lineRule="auto"/>
              <w:rPr>
                <w:rStyle w:val="ui-provider"/>
                <w:rFonts w:cs="Arial"/>
                <w:b/>
                <w:bCs/>
                <w:sz w:val="22"/>
              </w:rPr>
            </w:pPr>
            <w:r w:rsidRPr="00896B5B">
              <w:rPr>
                <w:rStyle w:val="ui-provider"/>
                <w:rFonts w:cs="Arial"/>
                <w:b/>
                <w:bCs/>
                <w:sz w:val="22"/>
              </w:rPr>
              <w:t>Denuncias o Quejas por Incumplimiento a la Política de Gestión del Riesgo</w:t>
            </w:r>
          </w:p>
          <w:p w14:paraId="292B0BF0" w14:textId="77777777" w:rsidR="00896B5B" w:rsidRDefault="00896B5B" w:rsidP="00896B5B">
            <w:pPr>
              <w:spacing w:before="0" w:after="0" w:line="240" w:lineRule="auto"/>
              <w:rPr>
                <w:rStyle w:val="ui-provider"/>
                <w:rFonts w:cs="Arial"/>
                <w:i/>
                <w:iCs/>
                <w:sz w:val="22"/>
              </w:rPr>
            </w:pPr>
          </w:p>
          <w:p w14:paraId="011DE1CD" w14:textId="0B0B3C47" w:rsidR="00896B5B" w:rsidRDefault="00896B5B" w:rsidP="00896B5B">
            <w:pPr>
              <w:spacing w:before="0" w:after="0" w:line="240" w:lineRule="auto"/>
              <w:rPr>
                <w:sz w:val="22"/>
                <w:szCs w:val="18"/>
              </w:rPr>
            </w:pPr>
            <w:r w:rsidRPr="00896B5B">
              <w:rPr>
                <w:sz w:val="22"/>
                <w:szCs w:val="18"/>
              </w:rPr>
              <w:t>Fórmula: Número de denuncias o quejas=Total de denuncias o quejas recibidas durante la vigencia asociadas al incumplimiento de la Política de Gestión del Riesgo</w:t>
            </w:r>
          </w:p>
          <w:p w14:paraId="79FEF6A9" w14:textId="77777777" w:rsidR="0034592A" w:rsidRPr="00896B5B" w:rsidRDefault="0034592A" w:rsidP="00896B5B">
            <w:pPr>
              <w:spacing w:before="0" w:after="0" w:line="240" w:lineRule="auto"/>
              <w:rPr>
                <w:sz w:val="22"/>
                <w:szCs w:val="18"/>
              </w:rPr>
            </w:pPr>
          </w:p>
          <w:p w14:paraId="582FA4C6" w14:textId="726C13AA" w:rsidR="00896B5B" w:rsidRPr="0034592A" w:rsidRDefault="00896B5B" w:rsidP="00896B5B">
            <w:pPr>
              <w:spacing w:before="0" w:after="0" w:line="240" w:lineRule="auto"/>
              <w:rPr>
                <w:rStyle w:val="ui-provider"/>
                <w:rFonts w:cs="Arial"/>
                <w:b/>
                <w:bCs/>
                <w:i/>
                <w:iCs/>
                <w:sz w:val="22"/>
              </w:rPr>
            </w:pPr>
            <w:r w:rsidRPr="0034592A">
              <w:rPr>
                <w:b/>
                <w:bCs/>
                <w:sz w:val="22"/>
                <w:szCs w:val="18"/>
              </w:rPr>
              <w:t>Meta: 0 denuncias o quejas</w:t>
            </w:r>
          </w:p>
        </w:tc>
      </w:tr>
    </w:tbl>
    <w:bookmarkEnd w:id="2"/>
    <w:p w14:paraId="3C3EBA19" w14:textId="77777777" w:rsidR="00BD6555" w:rsidRPr="00D173B7" w:rsidRDefault="00BD6555" w:rsidP="00D173B7">
      <w:pPr>
        <w:spacing w:before="0" w:after="0"/>
        <w:rPr>
          <w:rFonts w:cs="Arial"/>
          <w:i/>
          <w:iCs/>
          <w:sz w:val="18"/>
          <w:szCs w:val="18"/>
        </w:rPr>
      </w:pPr>
      <w:r w:rsidRPr="00D173B7">
        <w:rPr>
          <w:rFonts w:cs="Arial"/>
          <w:i/>
          <w:iCs/>
          <w:sz w:val="18"/>
          <w:szCs w:val="18"/>
        </w:rPr>
        <w:lastRenderedPageBreak/>
        <w:t>Fuente: Oficina Asesora de Planeación, febrero 2026</w:t>
      </w:r>
    </w:p>
    <w:p w14:paraId="1C3095A5" w14:textId="77777777" w:rsidR="00E860E7" w:rsidRDefault="00E860E7" w:rsidP="00E860E7">
      <w:pPr>
        <w:spacing w:before="0" w:after="0"/>
        <w:rPr>
          <w:rFonts w:cs="Arial"/>
          <w:b/>
          <w:bCs/>
          <w:i/>
          <w:iCs/>
          <w:szCs w:val="24"/>
        </w:rPr>
      </w:pPr>
    </w:p>
    <w:p w14:paraId="525FD9A8" w14:textId="7D756856" w:rsidR="0084004F" w:rsidRPr="008A1303" w:rsidRDefault="00121C52" w:rsidP="008A1303">
      <w:pPr>
        <w:pStyle w:val="Ttulo1"/>
      </w:pPr>
      <w:r w:rsidRPr="008A1303">
        <w:t>Alcance</w:t>
      </w:r>
      <w:bookmarkEnd w:id="3"/>
    </w:p>
    <w:p w14:paraId="05A4A590" w14:textId="77777777" w:rsidR="00E860E7" w:rsidRDefault="00E860E7" w:rsidP="00E860E7">
      <w:pPr>
        <w:spacing w:before="0" w:after="0"/>
        <w:jc w:val="both"/>
        <w:rPr>
          <w:rFonts w:cs="Arial"/>
          <w:szCs w:val="24"/>
        </w:rPr>
      </w:pPr>
    </w:p>
    <w:p w14:paraId="65D564CC" w14:textId="7A57A59B" w:rsidR="0084004F" w:rsidRDefault="006636BF" w:rsidP="006636BF">
      <w:pPr>
        <w:spacing w:before="0" w:after="0"/>
        <w:jc w:val="both"/>
        <w:rPr>
          <w:rFonts w:cs="Arial"/>
          <w:szCs w:val="24"/>
        </w:rPr>
      </w:pPr>
      <w:r w:rsidRPr="006636BF">
        <w:rPr>
          <w:rFonts w:cs="Arial"/>
          <w:szCs w:val="24"/>
        </w:rPr>
        <w:t xml:space="preserve">La presente política aplica a todas las dependencias, procesos, servidores de la Entidad, en todos los niveles jerárquicos y áreas misionales, estratégicas y de </w:t>
      </w:r>
      <w:proofErr w:type="gramStart"/>
      <w:r w:rsidRPr="006636BF">
        <w:rPr>
          <w:rFonts w:cs="Arial"/>
          <w:szCs w:val="24"/>
        </w:rPr>
        <w:t>apoyo</w:t>
      </w:r>
      <w:proofErr w:type="gramEnd"/>
      <w:r w:rsidRPr="006636BF">
        <w:rPr>
          <w:rFonts w:cs="Arial"/>
          <w:szCs w:val="24"/>
        </w:rPr>
        <w:t xml:space="preserve"> así como </w:t>
      </w:r>
      <w:r w:rsidR="00377DE6">
        <w:rPr>
          <w:rFonts w:cs="Arial"/>
          <w:szCs w:val="24"/>
        </w:rPr>
        <w:t xml:space="preserve">en las </w:t>
      </w:r>
      <w:r w:rsidRPr="006636BF">
        <w:rPr>
          <w:rFonts w:cs="Arial"/>
          <w:szCs w:val="24"/>
        </w:rPr>
        <w:t xml:space="preserve">unidades regionales. Incluye la gestión de </w:t>
      </w:r>
      <w:r w:rsidR="0090773C">
        <w:rPr>
          <w:rFonts w:cs="Arial"/>
          <w:szCs w:val="24"/>
        </w:rPr>
        <w:t xml:space="preserve">los siguientes </w:t>
      </w:r>
      <w:r w:rsidR="0098116E">
        <w:rPr>
          <w:rFonts w:cs="Arial"/>
          <w:szCs w:val="24"/>
        </w:rPr>
        <w:t xml:space="preserve">tipos de </w:t>
      </w:r>
      <w:r w:rsidRPr="006636BF">
        <w:rPr>
          <w:rFonts w:cs="Arial"/>
          <w:szCs w:val="24"/>
        </w:rPr>
        <w:t>riesgos</w:t>
      </w:r>
      <w:r w:rsidR="0098116E">
        <w:rPr>
          <w:rFonts w:cs="Arial"/>
          <w:szCs w:val="24"/>
        </w:rPr>
        <w:t>:</w:t>
      </w:r>
    </w:p>
    <w:p w14:paraId="04BD1A7F" w14:textId="77777777" w:rsidR="00C43AAF" w:rsidRDefault="00C43AAF" w:rsidP="006636BF">
      <w:pPr>
        <w:spacing w:before="0" w:after="0"/>
        <w:jc w:val="both"/>
        <w:rPr>
          <w:rFonts w:cs="Arial"/>
          <w:szCs w:val="24"/>
        </w:rPr>
      </w:pPr>
    </w:p>
    <w:p w14:paraId="2D2C6A39" w14:textId="27047D5E" w:rsidR="00C43AAF" w:rsidRDefault="0098116E" w:rsidP="00536BAF">
      <w:pPr>
        <w:pStyle w:val="Prrafodelista"/>
        <w:numPr>
          <w:ilvl w:val="0"/>
          <w:numId w:val="4"/>
        </w:numPr>
        <w:spacing w:before="0" w:after="0" w:line="360" w:lineRule="auto"/>
        <w:jc w:val="both"/>
        <w:rPr>
          <w:rFonts w:cs="Arial"/>
          <w:szCs w:val="24"/>
        </w:rPr>
      </w:pPr>
      <w:r w:rsidRPr="0098116E">
        <w:rPr>
          <w:rFonts w:cs="Arial"/>
          <w:b/>
          <w:bCs/>
          <w:szCs w:val="24"/>
        </w:rPr>
        <w:t>R</w:t>
      </w:r>
      <w:r w:rsidR="00C43AAF" w:rsidRPr="0098116E">
        <w:rPr>
          <w:rFonts w:cs="Arial"/>
          <w:b/>
          <w:bCs/>
          <w:szCs w:val="24"/>
        </w:rPr>
        <w:t>iesgos generales de la gestión</w:t>
      </w:r>
      <w:r w:rsidR="00C43AAF" w:rsidRPr="002F62D7">
        <w:rPr>
          <w:rFonts w:cs="Arial"/>
          <w:szCs w:val="24"/>
        </w:rPr>
        <w:t xml:space="preserve">, </w:t>
      </w:r>
      <w:r w:rsidR="00C43AAF" w:rsidRPr="00833053">
        <w:rPr>
          <w:rFonts w:cs="Arial"/>
          <w:szCs w:val="24"/>
        </w:rPr>
        <w:t>aquellos eventos que podrían afectar de forma previsible el logro de los objetivos de proceso</w:t>
      </w:r>
      <w:r w:rsidR="00C43AAF">
        <w:rPr>
          <w:rFonts w:cs="Arial"/>
          <w:szCs w:val="24"/>
        </w:rPr>
        <w:t>.</w:t>
      </w:r>
    </w:p>
    <w:p w14:paraId="1BF3D3D1" w14:textId="2B3FBA02" w:rsidR="00C43AAF" w:rsidRDefault="005836A5" w:rsidP="00536BAF">
      <w:pPr>
        <w:pStyle w:val="Prrafodelista"/>
        <w:numPr>
          <w:ilvl w:val="0"/>
          <w:numId w:val="4"/>
        </w:numPr>
        <w:spacing w:before="0" w:after="0" w:line="360" w:lineRule="auto"/>
        <w:jc w:val="both"/>
        <w:rPr>
          <w:rFonts w:cs="Arial"/>
          <w:szCs w:val="24"/>
        </w:rPr>
      </w:pPr>
      <w:r w:rsidRPr="005836A5">
        <w:rPr>
          <w:rFonts w:cs="Arial"/>
          <w:b/>
          <w:bCs/>
          <w:szCs w:val="24"/>
        </w:rPr>
        <w:t>R</w:t>
      </w:r>
      <w:r w:rsidR="00C43AAF" w:rsidRPr="005836A5">
        <w:rPr>
          <w:rFonts w:cs="Arial"/>
          <w:b/>
          <w:bCs/>
          <w:szCs w:val="24"/>
        </w:rPr>
        <w:t>iesgos para la integridad pública</w:t>
      </w:r>
      <w:r w:rsidR="00C43AAF" w:rsidRPr="002F62D7">
        <w:rPr>
          <w:rFonts w:cs="Arial"/>
          <w:szCs w:val="24"/>
        </w:rPr>
        <w:t xml:space="preserve">, </w:t>
      </w:r>
      <w:r w:rsidR="00C43AAF" w:rsidRPr="005836A5">
        <w:rPr>
          <w:rFonts w:cs="Arial"/>
          <w:szCs w:val="24"/>
        </w:rPr>
        <w:t xml:space="preserve">que puedan derivarse de las amenazas para la integridad pública; soborno, fraude, Inadecuada gestión del conflicto de intereses, Corrupción y Lavado de Activos (LA), Financiación del </w:t>
      </w:r>
      <w:r w:rsidR="00C43AAF" w:rsidRPr="005836A5">
        <w:rPr>
          <w:rFonts w:cs="Arial"/>
          <w:szCs w:val="24"/>
        </w:rPr>
        <w:lastRenderedPageBreak/>
        <w:t>Terrorismo (FT) y Financiación de la Proliferación de Armas de Destrucción Masiva (FP) -LA/FT/FP</w:t>
      </w:r>
      <w:r w:rsidR="00377DE6">
        <w:rPr>
          <w:rFonts w:cs="Arial"/>
          <w:szCs w:val="24"/>
        </w:rPr>
        <w:t>.</w:t>
      </w:r>
    </w:p>
    <w:p w14:paraId="7411BADC" w14:textId="0F971FD2" w:rsidR="00C43AAF" w:rsidRDefault="005836A5" w:rsidP="00536BAF">
      <w:pPr>
        <w:pStyle w:val="Prrafodelista"/>
        <w:numPr>
          <w:ilvl w:val="0"/>
          <w:numId w:val="4"/>
        </w:numPr>
        <w:spacing w:before="0" w:after="0" w:line="360" w:lineRule="auto"/>
        <w:jc w:val="both"/>
        <w:rPr>
          <w:rFonts w:cs="Arial"/>
          <w:szCs w:val="24"/>
        </w:rPr>
      </w:pPr>
      <w:r w:rsidRPr="005836A5">
        <w:rPr>
          <w:rFonts w:cs="Arial"/>
          <w:b/>
          <w:bCs/>
          <w:szCs w:val="24"/>
        </w:rPr>
        <w:t>R</w:t>
      </w:r>
      <w:r w:rsidR="00C43AAF" w:rsidRPr="005836A5">
        <w:rPr>
          <w:rFonts w:cs="Arial"/>
          <w:b/>
          <w:bCs/>
          <w:szCs w:val="24"/>
        </w:rPr>
        <w:t>iesgos fiscales</w:t>
      </w:r>
      <w:r w:rsidR="00C43AAF" w:rsidRPr="002F62D7">
        <w:rPr>
          <w:rFonts w:cs="Arial"/>
          <w:szCs w:val="24"/>
        </w:rPr>
        <w:t>, que puedan provocar un daño patrimonial al Estado</w:t>
      </w:r>
      <w:r w:rsidR="00C43AAF">
        <w:rPr>
          <w:rFonts w:cs="Arial"/>
          <w:szCs w:val="24"/>
        </w:rPr>
        <w:t xml:space="preserve"> </w:t>
      </w:r>
      <w:r w:rsidR="00C43AAF" w:rsidRPr="007370D1">
        <w:rPr>
          <w:rFonts w:cs="Arial"/>
          <w:szCs w:val="24"/>
        </w:rPr>
        <w:t>representado en el menoscabo, disminución, perjuicio, detrimento, pérdida o deterioro de los bienes, de los recursos públicos o de los intereses patrimoniales del Estado.</w:t>
      </w:r>
    </w:p>
    <w:p w14:paraId="673A8421" w14:textId="5EC9C9A2" w:rsidR="00C43AAF" w:rsidRPr="005836A5" w:rsidRDefault="005836A5" w:rsidP="00536BAF">
      <w:pPr>
        <w:pStyle w:val="Prrafodelista"/>
        <w:numPr>
          <w:ilvl w:val="0"/>
          <w:numId w:val="4"/>
        </w:numPr>
        <w:spacing w:before="0" w:after="0" w:line="360" w:lineRule="auto"/>
        <w:jc w:val="both"/>
        <w:rPr>
          <w:rFonts w:cs="Arial"/>
          <w:szCs w:val="24"/>
        </w:rPr>
      </w:pPr>
      <w:r w:rsidRPr="005836A5">
        <w:rPr>
          <w:rFonts w:cs="Arial"/>
          <w:b/>
          <w:bCs/>
          <w:szCs w:val="24"/>
        </w:rPr>
        <w:t>R</w:t>
      </w:r>
      <w:r w:rsidR="00C43AAF" w:rsidRPr="005836A5">
        <w:rPr>
          <w:rFonts w:cs="Arial"/>
          <w:b/>
          <w:bCs/>
          <w:szCs w:val="24"/>
        </w:rPr>
        <w:t>iesgos de Seguridad de la Información</w:t>
      </w:r>
      <w:r w:rsidR="00C43AAF" w:rsidRPr="005836A5">
        <w:rPr>
          <w:rFonts w:cs="Arial"/>
          <w:szCs w:val="24"/>
        </w:rPr>
        <w:t>, que puedan provocar un daño sobre los activos de información de la Entidad.</w:t>
      </w:r>
    </w:p>
    <w:p w14:paraId="65E2142A" w14:textId="77777777" w:rsidR="00C43AAF" w:rsidRDefault="00C43AAF" w:rsidP="006636BF">
      <w:pPr>
        <w:spacing w:before="0" w:after="0"/>
        <w:jc w:val="both"/>
        <w:rPr>
          <w:rFonts w:cs="Arial"/>
          <w:szCs w:val="24"/>
        </w:rPr>
      </w:pPr>
    </w:p>
    <w:p w14:paraId="2FAC7B1A" w14:textId="6A67DD8D" w:rsidR="009634DB" w:rsidRPr="002C3580" w:rsidRDefault="009634DB" w:rsidP="008A1303">
      <w:pPr>
        <w:pStyle w:val="Ttulo1"/>
      </w:pPr>
      <w:r w:rsidRPr="002C3580">
        <w:t>Responsables</w:t>
      </w:r>
    </w:p>
    <w:p w14:paraId="4DD41BFB" w14:textId="77777777" w:rsidR="006636BF" w:rsidRPr="00592197" w:rsidRDefault="006636BF" w:rsidP="00E860E7">
      <w:pPr>
        <w:spacing w:before="0" w:after="0"/>
        <w:rPr>
          <w:rFonts w:cs="Arial"/>
          <w:b/>
          <w:bCs/>
          <w:i/>
          <w:iCs/>
          <w:szCs w:val="24"/>
        </w:rPr>
      </w:pPr>
    </w:p>
    <w:p w14:paraId="60851A40" w14:textId="6C6F1357" w:rsidR="007B0C75" w:rsidRPr="000F47F9" w:rsidRDefault="00683ED1" w:rsidP="00E860E7">
      <w:pPr>
        <w:spacing w:before="0" w:after="0"/>
        <w:rPr>
          <w:rFonts w:cs="Arial"/>
          <w:b/>
          <w:bCs/>
          <w:i/>
          <w:iCs/>
          <w:color w:val="808080" w:themeColor="background1" w:themeShade="80"/>
          <w:szCs w:val="24"/>
        </w:rPr>
      </w:pPr>
      <w:r w:rsidRPr="000F47F9">
        <w:rPr>
          <w:rFonts w:cs="Arial"/>
          <w:b/>
          <w:bCs/>
          <w:i/>
          <w:iCs/>
          <w:color w:val="808080" w:themeColor="background1" w:themeShade="80"/>
          <w:szCs w:val="24"/>
        </w:rPr>
        <w:t>Niveles de responsabilidad</w:t>
      </w:r>
    </w:p>
    <w:p w14:paraId="446985AD" w14:textId="77777777" w:rsidR="00E860E7" w:rsidRDefault="00E860E7" w:rsidP="00E860E7">
      <w:pPr>
        <w:spacing w:before="0" w:after="0"/>
        <w:jc w:val="both"/>
        <w:rPr>
          <w:rFonts w:cs="Arial"/>
          <w:szCs w:val="24"/>
        </w:rPr>
      </w:pPr>
    </w:p>
    <w:p w14:paraId="6B01A51E" w14:textId="4C8A84FD" w:rsidR="007B0C75" w:rsidRPr="00F20B73" w:rsidRDefault="007B0C75" w:rsidP="00E860E7">
      <w:pPr>
        <w:spacing w:before="0" w:after="0"/>
        <w:jc w:val="both"/>
        <w:rPr>
          <w:rFonts w:cs="Arial"/>
          <w:szCs w:val="24"/>
        </w:rPr>
      </w:pPr>
      <w:r w:rsidRPr="00F20B73">
        <w:rPr>
          <w:rFonts w:cs="Arial"/>
          <w:szCs w:val="24"/>
        </w:rPr>
        <w:t xml:space="preserve">Con el fin de garantizar la adecuada gestión de riesgos en la entidad, se adopta el modelo de tres líneas de defensa, aplicable a todos los tipos de riesgo contemplados en esta política: </w:t>
      </w:r>
      <w:r w:rsidR="00FA5F96" w:rsidRPr="00F20B73">
        <w:rPr>
          <w:rFonts w:cs="Arial"/>
          <w:szCs w:val="24"/>
        </w:rPr>
        <w:t>riesgos generales de la gestión, riesgos de seguridad de la información, riesgos para la integridad pública y riesgos fiscales</w:t>
      </w:r>
      <w:r w:rsidRPr="00F20B73">
        <w:rPr>
          <w:rFonts w:cs="Arial"/>
          <w:szCs w:val="24"/>
        </w:rPr>
        <w:t>.</w:t>
      </w:r>
    </w:p>
    <w:p w14:paraId="11B7379B" w14:textId="77777777" w:rsidR="00E860E7" w:rsidRDefault="00E860E7" w:rsidP="00E860E7">
      <w:pPr>
        <w:spacing w:before="0" w:after="0"/>
        <w:jc w:val="both"/>
        <w:rPr>
          <w:rFonts w:cs="Arial"/>
          <w:szCs w:val="24"/>
        </w:rPr>
      </w:pPr>
    </w:p>
    <w:p w14:paraId="03D837FF" w14:textId="5852D285" w:rsidR="00427010" w:rsidRPr="00592197" w:rsidRDefault="00D173B7" w:rsidP="00D173B7">
      <w:pPr>
        <w:pStyle w:val="Descripcin"/>
        <w:rPr>
          <w:rFonts w:cs="Arial"/>
          <w:i w:val="0"/>
          <w:iCs w:val="0"/>
          <w:szCs w:val="24"/>
        </w:rPr>
      </w:pPr>
      <w:r>
        <w:t xml:space="preserve">Tabla </w:t>
      </w:r>
      <w:r>
        <w:fldChar w:fldCharType="begin"/>
      </w:r>
      <w:r>
        <w:instrText xml:space="preserve"> SEQ Tabla \* ARABIC </w:instrText>
      </w:r>
      <w:r>
        <w:fldChar w:fldCharType="separate"/>
      </w:r>
      <w:r w:rsidR="00876D49">
        <w:rPr>
          <w:noProof/>
        </w:rPr>
        <w:t>3</w:t>
      </w:r>
      <w:r>
        <w:fldChar w:fldCharType="end"/>
      </w:r>
      <w:r>
        <w:t xml:space="preserve">. </w:t>
      </w:r>
      <w:r w:rsidRPr="009A7E67">
        <w:t>Niveles de responsabilidad</w:t>
      </w:r>
    </w:p>
    <w:tbl>
      <w:tblPr>
        <w:tblW w:w="5540" w:type="pct"/>
        <w:tblInd w:w="-431" w:type="dxa"/>
        <w:tblCellMar>
          <w:left w:w="70" w:type="dxa"/>
          <w:right w:w="70" w:type="dxa"/>
        </w:tblCellMar>
        <w:tblLook w:val="04A0" w:firstRow="1" w:lastRow="0" w:firstColumn="1" w:lastColumn="0" w:noHBand="0" w:noVBand="1"/>
      </w:tblPr>
      <w:tblGrid>
        <w:gridCol w:w="1845"/>
        <w:gridCol w:w="1761"/>
        <w:gridCol w:w="2490"/>
        <w:gridCol w:w="3685"/>
      </w:tblGrid>
      <w:tr w:rsidR="00E54FC9" w:rsidRPr="00191415" w14:paraId="12F3E38E" w14:textId="77777777" w:rsidTr="00C6553A">
        <w:trPr>
          <w:trHeight w:val="892"/>
          <w:tblHeader/>
        </w:trPr>
        <w:tc>
          <w:tcPr>
            <w:tcW w:w="9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747D6" w14:textId="77777777" w:rsidR="00E54FC9" w:rsidRPr="00191415" w:rsidRDefault="00E54FC9" w:rsidP="00E54FC9">
            <w:pPr>
              <w:spacing w:before="0" w:after="0" w:line="240" w:lineRule="auto"/>
              <w:jc w:val="center"/>
              <w:rPr>
                <w:rFonts w:eastAsia="Times New Roman" w:cs="Arial"/>
                <w:b/>
                <w:bCs/>
                <w:color w:val="000000"/>
                <w:szCs w:val="24"/>
                <w:lang w:eastAsia="es-CO"/>
              </w:rPr>
            </w:pPr>
            <w:r w:rsidRPr="00191415">
              <w:rPr>
                <w:rFonts w:eastAsia="Times New Roman" w:cs="Arial"/>
                <w:b/>
                <w:bCs/>
                <w:color w:val="000000"/>
                <w:szCs w:val="24"/>
                <w:lang w:eastAsia="es-CO"/>
              </w:rPr>
              <w:t>Tipo de Riesgo</w:t>
            </w:r>
          </w:p>
        </w:tc>
        <w:tc>
          <w:tcPr>
            <w:tcW w:w="9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3BC7F7" w14:textId="77777777" w:rsidR="00E54FC9" w:rsidRPr="00191415" w:rsidRDefault="00E54FC9" w:rsidP="00E54FC9">
            <w:pPr>
              <w:spacing w:before="0" w:after="0" w:line="240" w:lineRule="auto"/>
              <w:jc w:val="center"/>
              <w:rPr>
                <w:rFonts w:eastAsia="Times New Roman" w:cs="Arial"/>
                <w:b/>
                <w:bCs/>
                <w:color w:val="000000"/>
                <w:szCs w:val="24"/>
                <w:lang w:eastAsia="es-CO"/>
              </w:rPr>
            </w:pPr>
            <w:r w:rsidRPr="00191415">
              <w:rPr>
                <w:rFonts w:eastAsia="Times New Roman" w:cs="Arial"/>
                <w:b/>
                <w:bCs/>
                <w:color w:val="000000"/>
                <w:szCs w:val="24"/>
                <w:lang w:eastAsia="es-CO"/>
              </w:rPr>
              <w:t>Línea de Defensa</w:t>
            </w:r>
          </w:p>
        </w:tc>
        <w:tc>
          <w:tcPr>
            <w:tcW w:w="127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7325CC" w14:textId="77777777" w:rsidR="00E54FC9" w:rsidRPr="00191415" w:rsidRDefault="00E54FC9" w:rsidP="00E54FC9">
            <w:pPr>
              <w:spacing w:before="0" w:after="0" w:line="240" w:lineRule="auto"/>
              <w:jc w:val="center"/>
              <w:rPr>
                <w:rFonts w:eastAsia="Times New Roman" w:cs="Arial"/>
                <w:b/>
                <w:bCs/>
                <w:color w:val="000000"/>
                <w:szCs w:val="24"/>
                <w:lang w:eastAsia="es-CO"/>
              </w:rPr>
            </w:pPr>
            <w:r w:rsidRPr="00191415">
              <w:rPr>
                <w:rFonts w:eastAsia="Times New Roman" w:cs="Arial"/>
                <w:b/>
                <w:bCs/>
                <w:color w:val="000000"/>
                <w:szCs w:val="24"/>
                <w:lang w:eastAsia="es-CO"/>
              </w:rPr>
              <w:t>Responsables</w:t>
            </w:r>
          </w:p>
        </w:tc>
        <w:tc>
          <w:tcPr>
            <w:tcW w:w="18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7DDF7F" w14:textId="77777777" w:rsidR="00E54FC9" w:rsidRPr="00191415" w:rsidRDefault="00E54FC9" w:rsidP="00E54FC9">
            <w:pPr>
              <w:spacing w:before="0" w:after="0" w:line="240" w:lineRule="auto"/>
              <w:jc w:val="center"/>
              <w:rPr>
                <w:rFonts w:eastAsia="Times New Roman" w:cs="Arial"/>
                <w:b/>
                <w:bCs/>
                <w:color w:val="000000"/>
                <w:szCs w:val="24"/>
                <w:lang w:eastAsia="es-CO"/>
              </w:rPr>
            </w:pPr>
            <w:r w:rsidRPr="00191415">
              <w:rPr>
                <w:rFonts w:eastAsia="Times New Roman" w:cs="Arial"/>
                <w:b/>
                <w:bCs/>
                <w:color w:val="000000"/>
                <w:szCs w:val="24"/>
                <w:lang w:eastAsia="es-CO"/>
              </w:rPr>
              <w:t>Nivel de responsabilidad frente al riesgo</w:t>
            </w:r>
          </w:p>
        </w:tc>
      </w:tr>
      <w:tr w:rsidR="001C5B7E" w:rsidRPr="00191415" w14:paraId="210853DD" w14:textId="77777777" w:rsidTr="00FB2546">
        <w:trPr>
          <w:trHeight w:val="2539"/>
        </w:trPr>
        <w:tc>
          <w:tcPr>
            <w:tcW w:w="943" w:type="pct"/>
            <w:tcBorders>
              <w:top w:val="single" w:sz="4" w:space="0" w:color="auto"/>
              <w:left w:val="single" w:sz="4" w:space="0" w:color="auto"/>
              <w:bottom w:val="single" w:sz="4" w:space="0" w:color="auto"/>
              <w:right w:val="single" w:sz="4" w:space="0" w:color="auto"/>
            </w:tcBorders>
            <w:vAlign w:val="center"/>
          </w:tcPr>
          <w:p w14:paraId="2F21CCE2" w14:textId="64FAD1E0" w:rsidR="00E2630C" w:rsidRPr="00BB222E" w:rsidRDefault="00E2630C" w:rsidP="00E2630C">
            <w:pPr>
              <w:spacing w:before="0" w:after="0" w:line="240" w:lineRule="auto"/>
              <w:jc w:val="center"/>
              <w:rPr>
                <w:rFonts w:eastAsia="Times New Roman" w:cs="Arial"/>
                <w:b/>
                <w:bCs/>
                <w:color w:val="000000"/>
                <w:sz w:val="22"/>
                <w:lang w:eastAsia="es-CO"/>
              </w:rPr>
            </w:pPr>
            <w:r w:rsidRPr="00BB222E">
              <w:rPr>
                <w:rFonts w:eastAsia="Times New Roman" w:cs="Arial"/>
                <w:b/>
                <w:bCs/>
                <w:color w:val="000000"/>
                <w:sz w:val="22"/>
                <w:lang w:eastAsia="es-CO"/>
              </w:rPr>
              <w:t>Todos los riesgos: generales de la gestión, seguridad de la información, integridad pública y fiscales</w:t>
            </w:r>
          </w:p>
        </w:tc>
        <w:tc>
          <w:tcPr>
            <w:tcW w:w="900" w:type="pct"/>
            <w:tcBorders>
              <w:top w:val="single" w:sz="4" w:space="0" w:color="auto"/>
              <w:left w:val="nil"/>
              <w:bottom w:val="single" w:sz="4" w:space="0" w:color="auto"/>
              <w:right w:val="single" w:sz="4" w:space="0" w:color="auto"/>
            </w:tcBorders>
            <w:vAlign w:val="center"/>
          </w:tcPr>
          <w:p w14:paraId="3EBDD2AB" w14:textId="2E329C07" w:rsidR="001C5B7E" w:rsidRPr="00BB222E" w:rsidRDefault="00B42840" w:rsidP="00BB222E">
            <w:pPr>
              <w:spacing w:before="0" w:after="0" w:line="240" w:lineRule="auto"/>
              <w:rPr>
                <w:rFonts w:eastAsia="Times New Roman" w:cs="Arial"/>
                <w:b/>
                <w:bCs/>
                <w:color w:val="000000"/>
                <w:sz w:val="22"/>
                <w:lang w:eastAsia="es-CO"/>
              </w:rPr>
            </w:pPr>
            <w:r w:rsidRPr="00BB222E">
              <w:rPr>
                <w:rFonts w:eastAsia="Times New Roman" w:cs="Arial"/>
                <w:b/>
                <w:bCs/>
                <w:color w:val="000000"/>
                <w:sz w:val="22"/>
                <w:lang w:eastAsia="es-CO"/>
              </w:rPr>
              <w:t>Línea estratégica</w:t>
            </w:r>
            <w:r w:rsidR="00BA7F7D" w:rsidRPr="00BB222E">
              <w:rPr>
                <w:rFonts w:eastAsia="Times New Roman" w:cs="Arial"/>
                <w:b/>
                <w:bCs/>
                <w:color w:val="000000"/>
                <w:sz w:val="22"/>
                <w:lang w:eastAsia="es-CO"/>
              </w:rPr>
              <w:t xml:space="preserve"> y Alta Dirección</w:t>
            </w:r>
          </w:p>
        </w:tc>
        <w:tc>
          <w:tcPr>
            <w:tcW w:w="1273" w:type="pct"/>
            <w:tcBorders>
              <w:top w:val="single" w:sz="4" w:space="0" w:color="auto"/>
              <w:left w:val="nil"/>
              <w:bottom w:val="single" w:sz="4" w:space="0" w:color="auto"/>
              <w:right w:val="single" w:sz="4" w:space="0" w:color="auto"/>
            </w:tcBorders>
            <w:vAlign w:val="center"/>
          </w:tcPr>
          <w:p w14:paraId="1347B86D" w14:textId="05E356E7" w:rsidR="001C5B7E" w:rsidRPr="00282656" w:rsidRDefault="00BD622A" w:rsidP="00E54FC9">
            <w:pPr>
              <w:spacing w:before="0" w:after="0" w:line="240" w:lineRule="auto"/>
              <w:rPr>
                <w:rFonts w:eastAsia="Times New Roman" w:cs="Arial"/>
                <w:color w:val="000000"/>
                <w:sz w:val="22"/>
                <w:lang w:eastAsia="es-CO"/>
              </w:rPr>
            </w:pPr>
            <w:r>
              <w:rPr>
                <w:rFonts w:eastAsia="Times New Roman" w:cs="Arial"/>
                <w:color w:val="000000"/>
                <w:sz w:val="22"/>
                <w:lang w:eastAsia="es-CO"/>
              </w:rPr>
              <w:t>Comité Institucional de Coordinación de Control Interno</w:t>
            </w:r>
          </w:p>
        </w:tc>
        <w:tc>
          <w:tcPr>
            <w:tcW w:w="1884" w:type="pct"/>
            <w:tcBorders>
              <w:top w:val="single" w:sz="4" w:space="0" w:color="auto"/>
              <w:left w:val="nil"/>
              <w:bottom w:val="single" w:sz="4" w:space="0" w:color="auto"/>
              <w:right w:val="single" w:sz="4" w:space="0" w:color="auto"/>
            </w:tcBorders>
            <w:vAlign w:val="center"/>
          </w:tcPr>
          <w:p w14:paraId="417AD9F5" w14:textId="635A834B" w:rsidR="001C5B7E" w:rsidRPr="00282656" w:rsidRDefault="00BA7F7D" w:rsidP="00E54FC9">
            <w:pPr>
              <w:spacing w:before="0" w:after="0" w:line="240" w:lineRule="auto"/>
              <w:rPr>
                <w:rFonts w:eastAsia="Times New Roman" w:cs="Arial"/>
                <w:color w:val="000000"/>
                <w:sz w:val="22"/>
                <w:lang w:eastAsia="es-CO"/>
              </w:rPr>
            </w:pPr>
            <w:r w:rsidRPr="00BA7F7D">
              <w:rPr>
                <w:rFonts w:eastAsia="Times New Roman" w:cs="Arial"/>
                <w:color w:val="000000"/>
                <w:sz w:val="22"/>
                <w:lang w:eastAsia="es-CO"/>
              </w:rPr>
              <w:t xml:space="preserve">Definición del apetito de riesgo, aprobación de la </w:t>
            </w:r>
            <w:r w:rsidR="00E1708D" w:rsidRPr="00BA7F7D">
              <w:rPr>
                <w:rFonts w:eastAsia="Times New Roman" w:cs="Arial"/>
                <w:color w:val="000000"/>
                <w:sz w:val="22"/>
                <w:lang w:eastAsia="es-CO"/>
              </w:rPr>
              <w:t>Política</w:t>
            </w:r>
            <w:r w:rsidR="00E1708D">
              <w:rPr>
                <w:rFonts w:eastAsia="Times New Roman" w:cs="Arial"/>
                <w:color w:val="000000"/>
                <w:sz w:val="22"/>
                <w:lang w:eastAsia="es-CO"/>
              </w:rPr>
              <w:t xml:space="preserve"> </w:t>
            </w:r>
            <w:r>
              <w:rPr>
                <w:rFonts w:eastAsia="Times New Roman" w:cs="Arial"/>
                <w:color w:val="000000"/>
                <w:sz w:val="22"/>
                <w:lang w:eastAsia="es-CO"/>
              </w:rPr>
              <w:t>Gestión Integral del Riesgo</w:t>
            </w:r>
            <w:r w:rsidR="00E1708D">
              <w:rPr>
                <w:rFonts w:eastAsia="Times New Roman" w:cs="Arial"/>
                <w:color w:val="000000"/>
                <w:sz w:val="22"/>
                <w:lang w:eastAsia="es-CO"/>
              </w:rPr>
              <w:t xml:space="preserve"> </w:t>
            </w:r>
            <w:r w:rsidRPr="00BA7F7D">
              <w:rPr>
                <w:rFonts w:eastAsia="Times New Roman" w:cs="Arial"/>
                <w:color w:val="000000"/>
                <w:sz w:val="22"/>
                <w:lang w:eastAsia="es-CO"/>
              </w:rPr>
              <w:t>y la asignación de recursos y responsabilidades para su implementación.</w:t>
            </w:r>
          </w:p>
        </w:tc>
      </w:tr>
      <w:tr w:rsidR="00E54FC9" w:rsidRPr="00191415" w14:paraId="41A3913A" w14:textId="77777777" w:rsidTr="00FB2546">
        <w:trPr>
          <w:trHeight w:val="576"/>
        </w:trPr>
        <w:tc>
          <w:tcPr>
            <w:tcW w:w="943" w:type="pct"/>
            <w:vMerge w:val="restart"/>
            <w:tcBorders>
              <w:top w:val="single" w:sz="4" w:space="0" w:color="auto"/>
              <w:left w:val="single" w:sz="4" w:space="0" w:color="auto"/>
              <w:bottom w:val="single" w:sz="4" w:space="0" w:color="auto"/>
              <w:right w:val="single" w:sz="4" w:space="0" w:color="auto"/>
            </w:tcBorders>
            <w:vAlign w:val="center"/>
            <w:hideMark/>
          </w:tcPr>
          <w:p w14:paraId="316D7EF3" w14:textId="77777777" w:rsidR="00E54FC9" w:rsidRPr="00282656" w:rsidRDefault="00E54FC9" w:rsidP="00E54FC9">
            <w:pPr>
              <w:spacing w:before="0" w:after="0" w:line="240" w:lineRule="auto"/>
              <w:jc w:val="center"/>
              <w:rPr>
                <w:rFonts w:eastAsia="Times New Roman" w:cs="Arial"/>
                <w:b/>
                <w:bCs/>
                <w:color w:val="000000"/>
                <w:sz w:val="22"/>
                <w:lang w:eastAsia="es-CO"/>
              </w:rPr>
            </w:pPr>
            <w:r w:rsidRPr="00282656">
              <w:rPr>
                <w:rFonts w:eastAsia="Times New Roman" w:cs="Arial"/>
                <w:b/>
                <w:bCs/>
                <w:color w:val="000000"/>
                <w:sz w:val="22"/>
                <w:lang w:eastAsia="es-CO"/>
              </w:rPr>
              <w:lastRenderedPageBreak/>
              <w:t>Riesgos generales de la gestión</w:t>
            </w:r>
          </w:p>
        </w:tc>
        <w:tc>
          <w:tcPr>
            <w:tcW w:w="900" w:type="pct"/>
            <w:tcBorders>
              <w:top w:val="single" w:sz="4" w:space="0" w:color="auto"/>
              <w:left w:val="nil"/>
              <w:bottom w:val="single" w:sz="4" w:space="0" w:color="auto"/>
              <w:right w:val="single" w:sz="4" w:space="0" w:color="auto"/>
            </w:tcBorders>
            <w:vAlign w:val="center"/>
            <w:hideMark/>
          </w:tcPr>
          <w:p w14:paraId="50AC0B3D" w14:textId="01A9848F" w:rsidR="00E54FC9" w:rsidRPr="00282656" w:rsidRDefault="00E54FC9" w:rsidP="00E54FC9">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1ra Línea</w:t>
            </w:r>
          </w:p>
        </w:tc>
        <w:tc>
          <w:tcPr>
            <w:tcW w:w="1273" w:type="pct"/>
            <w:tcBorders>
              <w:top w:val="single" w:sz="4" w:space="0" w:color="auto"/>
              <w:left w:val="nil"/>
              <w:bottom w:val="single" w:sz="4" w:space="0" w:color="auto"/>
              <w:right w:val="single" w:sz="4" w:space="0" w:color="auto"/>
            </w:tcBorders>
            <w:vAlign w:val="center"/>
            <w:hideMark/>
          </w:tcPr>
          <w:p w14:paraId="733810A1" w14:textId="758C52EE" w:rsidR="00E54FC9" w:rsidRPr="00282656" w:rsidRDefault="0082039D"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Líderes de proceso, gestores de proceso</w:t>
            </w:r>
            <w:r w:rsidR="005C330A">
              <w:rPr>
                <w:rFonts w:eastAsia="Times New Roman" w:cs="Arial"/>
                <w:color w:val="000000"/>
                <w:sz w:val="22"/>
                <w:lang w:eastAsia="es-CO"/>
              </w:rPr>
              <w:t xml:space="preserve">, </w:t>
            </w:r>
            <w:r w:rsidR="005C330A" w:rsidRPr="005C330A">
              <w:rPr>
                <w:rFonts w:eastAsia="Times New Roman" w:cs="Arial"/>
                <w:color w:val="000000"/>
                <w:sz w:val="22"/>
                <w:lang w:eastAsia="es-CO"/>
              </w:rPr>
              <w:t>líderes de planes, programas o proyectos</w:t>
            </w:r>
            <w:r w:rsidRPr="00282656">
              <w:rPr>
                <w:rFonts w:eastAsia="Times New Roman" w:cs="Arial"/>
                <w:color w:val="000000"/>
                <w:sz w:val="22"/>
                <w:lang w:eastAsia="es-CO"/>
              </w:rPr>
              <w:t xml:space="preserve"> y funcionarios Supersalud</w:t>
            </w:r>
          </w:p>
        </w:tc>
        <w:tc>
          <w:tcPr>
            <w:tcW w:w="1884" w:type="pct"/>
            <w:tcBorders>
              <w:top w:val="single" w:sz="4" w:space="0" w:color="auto"/>
              <w:left w:val="nil"/>
              <w:bottom w:val="single" w:sz="4" w:space="0" w:color="auto"/>
              <w:right w:val="single" w:sz="4" w:space="0" w:color="auto"/>
            </w:tcBorders>
            <w:vAlign w:val="center"/>
            <w:hideMark/>
          </w:tcPr>
          <w:p w14:paraId="48E2D8CA" w14:textId="1EAC667C" w:rsidR="00E54FC9" w:rsidRPr="00282656" w:rsidRDefault="00E54FC9"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 xml:space="preserve">Identificar </w:t>
            </w:r>
            <w:r w:rsidR="00322549" w:rsidRPr="00282656">
              <w:rPr>
                <w:rFonts w:eastAsia="Times New Roman" w:cs="Arial"/>
                <w:color w:val="000000"/>
                <w:sz w:val="22"/>
                <w:lang w:eastAsia="es-CO"/>
              </w:rPr>
              <w:t xml:space="preserve">y gestionar </w:t>
            </w:r>
            <w:r w:rsidRPr="00282656">
              <w:rPr>
                <w:rFonts w:eastAsia="Times New Roman" w:cs="Arial"/>
                <w:color w:val="000000"/>
                <w:sz w:val="22"/>
                <w:lang w:eastAsia="es-CO"/>
              </w:rPr>
              <w:t>riesgos en</w:t>
            </w:r>
            <w:r w:rsidR="00322549" w:rsidRPr="00282656">
              <w:rPr>
                <w:rFonts w:eastAsia="Times New Roman" w:cs="Arial"/>
                <w:color w:val="000000"/>
                <w:sz w:val="22"/>
                <w:lang w:eastAsia="es-CO"/>
              </w:rPr>
              <w:t xml:space="preserve"> los</w:t>
            </w:r>
            <w:r w:rsidRPr="00282656">
              <w:rPr>
                <w:rFonts w:eastAsia="Times New Roman" w:cs="Arial"/>
                <w:color w:val="000000"/>
                <w:sz w:val="22"/>
                <w:lang w:eastAsia="es-CO"/>
              </w:rPr>
              <w:t xml:space="preserve"> procesos, aplicar controles operativos</w:t>
            </w:r>
            <w:r w:rsidR="00097048" w:rsidRPr="00282656">
              <w:rPr>
                <w:rFonts w:eastAsia="Times New Roman" w:cs="Arial"/>
                <w:color w:val="000000"/>
                <w:sz w:val="22"/>
                <w:lang w:eastAsia="es-CO"/>
              </w:rPr>
              <w:t>,</w:t>
            </w:r>
            <w:r w:rsidRPr="00282656">
              <w:rPr>
                <w:rFonts w:eastAsia="Times New Roman" w:cs="Arial"/>
                <w:color w:val="000000"/>
                <w:sz w:val="22"/>
                <w:lang w:eastAsia="es-CO"/>
              </w:rPr>
              <w:t xml:space="preserve"> reportar desviaciones</w:t>
            </w:r>
            <w:r w:rsidR="00097048" w:rsidRPr="00282656">
              <w:rPr>
                <w:rFonts w:eastAsia="Times New Roman" w:cs="Arial"/>
                <w:color w:val="000000"/>
                <w:sz w:val="22"/>
                <w:lang w:eastAsia="es-CO"/>
              </w:rPr>
              <w:t xml:space="preserve"> y </w:t>
            </w:r>
            <w:r w:rsidR="00A85F0B" w:rsidRPr="00282656">
              <w:rPr>
                <w:rFonts w:eastAsia="Times New Roman" w:cs="Arial"/>
                <w:color w:val="000000"/>
                <w:sz w:val="22"/>
                <w:lang w:eastAsia="es-CO"/>
              </w:rPr>
              <w:t>eventos de materialización</w:t>
            </w:r>
            <w:r w:rsidRPr="00282656">
              <w:rPr>
                <w:rFonts w:eastAsia="Times New Roman" w:cs="Arial"/>
                <w:color w:val="000000"/>
                <w:sz w:val="22"/>
                <w:lang w:eastAsia="es-CO"/>
              </w:rPr>
              <w:t>.</w:t>
            </w:r>
          </w:p>
        </w:tc>
      </w:tr>
      <w:tr w:rsidR="00673E1B" w:rsidRPr="00191415" w14:paraId="66A5E842" w14:textId="77777777" w:rsidTr="00FB2546">
        <w:trPr>
          <w:trHeight w:val="1302"/>
        </w:trPr>
        <w:tc>
          <w:tcPr>
            <w:tcW w:w="943" w:type="pct"/>
            <w:vMerge/>
            <w:tcBorders>
              <w:top w:val="single" w:sz="4" w:space="0" w:color="auto"/>
              <w:left w:val="single" w:sz="4" w:space="0" w:color="auto"/>
              <w:bottom w:val="single" w:sz="4" w:space="0" w:color="auto"/>
              <w:right w:val="single" w:sz="4" w:space="0" w:color="auto"/>
            </w:tcBorders>
            <w:vAlign w:val="center"/>
            <w:hideMark/>
          </w:tcPr>
          <w:p w14:paraId="3B0741BA"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900" w:type="pct"/>
            <w:vMerge w:val="restart"/>
            <w:tcBorders>
              <w:top w:val="single" w:sz="4" w:space="0" w:color="auto"/>
              <w:left w:val="nil"/>
              <w:bottom w:val="single" w:sz="4" w:space="0" w:color="auto"/>
              <w:right w:val="single" w:sz="4" w:space="0" w:color="auto"/>
            </w:tcBorders>
            <w:vAlign w:val="center"/>
            <w:hideMark/>
          </w:tcPr>
          <w:p w14:paraId="20714660" w14:textId="79153B56" w:rsidR="00673E1B" w:rsidRPr="00282656" w:rsidRDefault="00673E1B" w:rsidP="00E54FC9">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2da Línea</w:t>
            </w:r>
          </w:p>
        </w:tc>
        <w:tc>
          <w:tcPr>
            <w:tcW w:w="1273" w:type="pct"/>
            <w:tcBorders>
              <w:top w:val="single" w:sz="4" w:space="0" w:color="auto"/>
              <w:left w:val="nil"/>
              <w:bottom w:val="single" w:sz="4" w:space="0" w:color="auto"/>
              <w:right w:val="single" w:sz="4" w:space="0" w:color="auto"/>
            </w:tcBorders>
            <w:vAlign w:val="center"/>
            <w:hideMark/>
          </w:tcPr>
          <w:p w14:paraId="34A5A77E" w14:textId="61865358" w:rsidR="00673E1B" w:rsidRPr="00282656" w:rsidRDefault="00673E1B"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Oficina Asesora de Planeación, Enlaces de proceso</w:t>
            </w:r>
          </w:p>
        </w:tc>
        <w:tc>
          <w:tcPr>
            <w:tcW w:w="1884" w:type="pct"/>
            <w:tcBorders>
              <w:top w:val="single" w:sz="4" w:space="0" w:color="auto"/>
              <w:left w:val="nil"/>
              <w:bottom w:val="single" w:sz="4" w:space="0" w:color="auto"/>
              <w:right w:val="single" w:sz="4" w:space="0" w:color="auto"/>
            </w:tcBorders>
            <w:vAlign w:val="center"/>
            <w:hideMark/>
          </w:tcPr>
          <w:p w14:paraId="521765B6" w14:textId="00151EFC" w:rsidR="00673E1B" w:rsidRPr="00282656" w:rsidRDefault="00673E1B"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Diseñar metodología, consolidar Mapa de Riesgos, monitorear la e</w:t>
            </w:r>
            <w:r>
              <w:rPr>
                <w:rFonts w:eastAsia="Times New Roman" w:cs="Arial"/>
                <w:color w:val="000000"/>
                <w:sz w:val="22"/>
                <w:lang w:eastAsia="es-CO"/>
              </w:rPr>
              <w:t>jecución</w:t>
            </w:r>
            <w:r w:rsidRPr="00282656">
              <w:rPr>
                <w:rFonts w:eastAsia="Times New Roman" w:cs="Arial"/>
                <w:color w:val="000000"/>
                <w:sz w:val="22"/>
                <w:lang w:eastAsia="es-CO"/>
              </w:rPr>
              <w:t xml:space="preserve"> de controles y generar reportes.</w:t>
            </w:r>
          </w:p>
        </w:tc>
      </w:tr>
      <w:tr w:rsidR="00673E1B" w:rsidRPr="00191415" w14:paraId="0DB63F82" w14:textId="77777777" w:rsidTr="00FB2546">
        <w:trPr>
          <w:trHeight w:val="1404"/>
        </w:trPr>
        <w:tc>
          <w:tcPr>
            <w:tcW w:w="943" w:type="pct"/>
            <w:vMerge/>
            <w:tcBorders>
              <w:top w:val="single" w:sz="4" w:space="0" w:color="auto"/>
              <w:left w:val="single" w:sz="4" w:space="0" w:color="auto"/>
              <w:bottom w:val="single" w:sz="4" w:space="0" w:color="auto"/>
              <w:right w:val="single" w:sz="4" w:space="0" w:color="auto"/>
            </w:tcBorders>
            <w:vAlign w:val="center"/>
          </w:tcPr>
          <w:p w14:paraId="3309834C"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900" w:type="pct"/>
            <w:vMerge/>
            <w:tcBorders>
              <w:top w:val="single" w:sz="4" w:space="0" w:color="auto"/>
              <w:left w:val="nil"/>
              <w:bottom w:val="single" w:sz="4" w:space="0" w:color="auto"/>
              <w:right w:val="single" w:sz="4" w:space="0" w:color="auto"/>
            </w:tcBorders>
            <w:vAlign w:val="center"/>
          </w:tcPr>
          <w:p w14:paraId="0EFED0A1"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1273" w:type="pct"/>
            <w:tcBorders>
              <w:top w:val="single" w:sz="4" w:space="0" w:color="auto"/>
              <w:left w:val="nil"/>
              <w:bottom w:val="single" w:sz="4" w:space="0" w:color="auto"/>
              <w:right w:val="single" w:sz="4" w:space="0" w:color="auto"/>
            </w:tcBorders>
            <w:vAlign w:val="center"/>
          </w:tcPr>
          <w:p w14:paraId="6096780B" w14:textId="67F44F15" w:rsidR="00673E1B" w:rsidRPr="00282656" w:rsidRDefault="00673E1B" w:rsidP="00E54FC9">
            <w:pPr>
              <w:spacing w:before="0" w:after="0" w:line="240" w:lineRule="auto"/>
              <w:rPr>
                <w:rFonts w:eastAsia="Times New Roman" w:cs="Arial"/>
                <w:color w:val="000000"/>
                <w:sz w:val="22"/>
                <w:lang w:eastAsia="es-CO"/>
              </w:rPr>
            </w:pPr>
            <w:r>
              <w:rPr>
                <w:rFonts w:eastAsia="Times New Roman" w:cs="Arial"/>
                <w:color w:val="000000"/>
                <w:sz w:val="22"/>
                <w:lang w:eastAsia="es-CO"/>
              </w:rPr>
              <w:t>Dirección de Contratación</w:t>
            </w:r>
            <w:r w:rsidRPr="007A33C8">
              <w:rPr>
                <w:rFonts w:eastAsia="Times New Roman" w:cs="Arial"/>
                <w:color w:val="000000"/>
                <w:sz w:val="22"/>
                <w:lang w:eastAsia="es-CO"/>
              </w:rPr>
              <w:t xml:space="preserve"> o secretario general o quien haga sus veces</w:t>
            </w:r>
          </w:p>
        </w:tc>
        <w:tc>
          <w:tcPr>
            <w:tcW w:w="1884" w:type="pct"/>
            <w:tcBorders>
              <w:top w:val="single" w:sz="4" w:space="0" w:color="auto"/>
              <w:left w:val="nil"/>
              <w:bottom w:val="single" w:sz="4" w:space="0" w:color="auto"/>
              <w:right w:val="single" w:sz="4" w:space="0" w:color="auto"/>
            </w:tcBorders>
            <w:vAlign w:val="center"/>
          </w:tcPr>
          <w:p w14:paraId="078829BF" w14:textId="1BA17A8B" w:rsidR="00673E1B" w:rsidRPr="00282656" w:rsidRDefault="00673E1B" w:rsidP="000136A7">
            <w:pPr>
              <w:spacing w:before="0" w:after="0" w:line="240" w:lineRule="auto"/>
              <w:rPr>
                <w:rFonts w:eastAsia="Times New Roman" w:cs="Arial"/>
                <w:color w:val="000000"/>
                <w:sz w:val="22"/>
                <w:lang w:eastAsia="es-CO"/>
              </w:rPr>
            </w:pPr>
            <w:r>
              <w:rPr>
                <w:rFonts w:eastAsia="Times New Roman" w:cs="Arial"/>
                <w:color w:val="000000"/>
                <w:sz w:val="22"/>
                <w:lang w:eastAsia="es-CO"/>
              </w:rPr>
              <w:t>E</w:t>
            </w:r>
            <w:r w:rsidRPr="000136A7">
              <w:rPr>
                <w:rFonts w:eastAsia="Times New Roman" w:cs="Arial"/>
                <w:color w:val="000000"/>
                <w:sz w:val="22"/>
                <w:lang w:eastAsia="es-CO"/>
              </w:rPr>
              <w:t>ncargado de monitorear la gestión contractual</w:t>
            </w:r>
            <w:r>
              <w:rPr>
                <w:rFonts w:eastAsia="Times New Roman" w:cs="Arial"/>
                <w:color w:val="000000"/>
                <w:sz w:val="22"/>
                <w:lang w:eastAsia="es-CO"/>
              </w:rPr>
              <w:t xml:space="preserve"> </w:t>
            </w:r>
            <w:r w:rsidRPr="000136A7">
              <w:rPr>
                <w:rFonts w:eastAsia="Times New Roman" w:cs="Arial"/>
                <w:color w:val="000000"/>
                <w:sz w:val="22"/>
                <w:lang w:eastAsia="es-CO"/>
              </w:rPr>
              <w:t>y generar alertas sobre retrasos, incumplimientos u otras situaciones de riesgo detectadas</w:t>
            </w:r>
          </w:p>
        </w:tc>
      </w:tr>
      <w:tr w:rsidR="00673E1B" w:rsidRPr="00191415" w14:paraId="01DA4431" w14:textId="77777777" w:rsidTr="00FB2546">
        <w:trPr>
          <w:trHeight w:val="1834"/>
        </w:trPr>
        <w:tc>
          <w:tcPr>
            <w:tcW w:w="943" w:type="pct"/>
            <w:vMerge/>
            <w:tcBorders>
              <w:top w:val="single" w:sz="4" w:space="0" w:color="auto"/>
              <w:left w:val="single" w:sz="4" w:space="0" w:color="auto"/>
              <w:bottom w:val="single" w:sz="4" w:space="0" w:color="auto"/>
              <w:right w:val="single" w:sz="4" w:space="0" w:color="auto"/>
            </w:tcBorders>
            <w:vAlign w:val="center"/>
          </w:tcPr>
          <w:p w14:paraId="6BE27A8E"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900" w:type="pct"/>
            <w:vMerge/>
            <w:tcBorders>
              <w:top w:val="single" w:sz="4" w:space="0" w:color="auto"/>
              <w:left w:val="nil"/>
              <w:bottom w:val="single" w:sz="4" w:space="0" w:color="auto"/>
              <w:right w:val="single" w:sz="4" w:space="0" w:color="auto"/>
            </w:tcBorders>
            <w:vAlign w:val="center"/>
          </w:tcPr>
          <w:p w14:paraId="6A84930B"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1273" w:type="pct"/>
            <w:tcBorders>
              <w:top w:val="single" w:sz="4" w:space="0" w:color="auto"/>
              <w:left w:val="nil"/>
              <w:bottom w:val="single" w:sz="4" w:space="0" w:color="auto"/>
              <w:right w:val="single" w:sz="4" w:space="0" w:color="auto"/>
            </w:tcBorders>
            <w:vAlign w:val="center"/>
          </w:tcPr>
          <w:p w14:paraId="451B3D9E" w14:textId="52438103" w:rsidR="00673E1B" w:rsidRDefault="00673E1B" w:rsidP="000B3AC7">
            <w:pPr>
              <w:spacing w:before="0" w:after="0" w:line="240" w:lineRule="auto"/>
              <w:rPr>
                <w:rFonts w:eastAsia="Times New Roman" w:cs="Arial"/>
                <w:color w:val="000000"/>
                <w:sz w:val="22"/>
                <w:lang w:eastAsia="es-CO"/>
              </w:rPr>
            </w:pPr>
            <w:r>
              <w:rPr>
                <w:rFonts w:eastAsia="Times New Roman" w:cs="Arial"/>
                <w:color w:val="000000"/>
                <w:sz w:val="22"/>
                <w:lang w:eastAsia="es-CO"/>
              </w:rPr>
              <w:t xml:space="preserve">Dirección </w:t>
            </w:r>
            <w:r w:rsidRPr="008663E3">
              <w:rPr>
                <w:rFonts w:eastAsia="Times New Roman" w:cs="Arial"/>
                <w:color w:val="000000"/>
                <w:sz w:val="22"/>
                <w:lang w:eastAsia="es-CO"/>
              </w:rPr>
              <w:t>de servicio al ciudadano o quien haga sus veces</w:t>
            </w:r>
          </w:p>
          <w:p w14:paraId="7B09F7C4" w14:textId="5423D6A8" w:rsidR="00673E1B" w:rsidRDefault="00673E1B" w:rsidP="008663E3">
            <w:pPr>
              <w:spacing w:before="0" w:after="0" w:line="240" w:lineRule="auto"/>
              <w:rPr>
                <w:rFonts w:eastAsia="Times New Roman" w:cs="Arial"/>
                <w:color w:val="000000"/>
                <w:sz w:val="22"/>
                <w:lang w:eastAsia="es-CO"/>
              </w:rPr>
            </w:pPr>
          </w:p>
        </w:tc>
        <w:tc>
          <w:tcPr>
            <w:tcW w:w="1884" w:type="pct"/>
            <w:tcBorders>
              <w:top w:val="single" w:sz="4" w:space="0" w:color="auto"/>
              <w:left w:val="nil"/>
              <w:bottom w:val="single" w:sz="4" w:space="0" w:color="auto"/>
              <w:right w:val="single" w:sz="4" w:space="0" w:color="auto"/>
            </w:tcBorders>
            <w:vAlign w:val="center"/>
          </w:tcPr>
          <w:p w14:paraId="48731430" w14:textId="15D9CA9C" w:rsidR="00673E1B" w:rsidRDefault="00673E1B" w:rsidP="000424D0">
            <w:pPr>
              <w:spacing w:before="0" w:after="0" w:line="240" w:lineRule="auto"/>
              <w:rPr>
                <w:rFonts w:eastAsia="Times New Roman" w:cs="Arial"/>
                <w:color w:val="000000"/>
                <w:sz w:val="22"/>
                <w:lang w:eastAsia="es-CO"/>
              </w:rPr>
            </w:pPr>
            <w:r>
              <w:rPr>
                <w:rFonts w:eastAsia="Times New Roman" w:cs="Arial"/>
                <w:color w:val="000000"/>
                <w:sz w:val="22"/>
                <w:lang w:eastAsia="es-CO"/>
              </w:rPr>
              <w:t>E</w:t>
            </w:r>
            <w:r w:rsidRPr="008663E3">
              <w:rPr>
                <w:rFonts w:eastAsia="Times New Roman" w:cs="Arial"/>
                <w:color w:val="000000"/>
                <w:sz w:val="22"/>
                <w:lang w:eastAsia="es-CO"/>
              </w:rPr>
              <w:t>ncargado de monitorear las PQRD y generar alertas</w:t>
            </w:r>
            <w:r>
              <w:rPr>
                <w:rFonts w:eastAsia="Times New Roman" w:cs="Arial"/>
                <w:color w:val="000000"/>
                <w:sz w:val="22"/>
                <w:lang w:eastAsia="es-CO"/>
              </w:rPr>
              <w:t xml:space="preserve"> </w:t>
            </w:r>
            <w:r w:rsidRPr="008663E3">
              <w:rPr>
                <w:rFonts w:eastAsia="Times New Roman" w:cs="Arial"/>
                <w:color w:val="000000"/>
                <w:sz w:val="22"/>
                <w:lang w:eastAsia="es-CO"/>
              </w:rPr>
              <w:t>sobre incumplimientos, quejas en la prestación del servicio, tutelas u otras situaciones de riesgo detectadas</w:t>
            </w:r>
          </w:p>
        </w:tc>
      </w:tr>
      <w:tr w:rsidR="00673E1B" w:rsidRPr="00191415" w14:paraId="7BB0C996" w14:textId="77777777" w:rsidTr="00FB2546">
        <w:trPr>
          <w:trHeight w:val="2552"/>
        </w:trPr>
        <w:tc>
          <w:tcPr>
            <w:tcW w:w="943" w:type="pct"/>
            <w:vMerge/>
            <w:tcBorders>
              <w:top w:val="single" w:sz="4" w:space="0" w:color="auto"/>
              <w:left w:val="single" w:sz="4" w:space="0" w:color="auto"/>
              <w:bottom w:val="single" w:sz="4" w:space="0" w:color="auto"/>
              <w:right w:val="single" w:sz="4" w:space="0" w:color="auto"/>
            </w:tcBorders>
            <w:vAlign w:val="center"/>
          </w:tcPr>
          <w:p w14:paraId="21CB4928"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900" w:type="pct"/>
            <w:vMerge/>
            <w:tcBorders>
              <w:top w:val="single" w:sz="4" w:space="0" w:color="auto"/>
              <w:left w:val="nil"/>
              <w:bottom w:val="single" w:sz="4" w:space="0" w:color="auto"/>
              <w:right w:val="single" w:sz="4" w:space="0" w:color="auto"/>
            </w:tcBorders>
            <w:vAlign w:val="center"/>
          </w:tcPr>
          <w:p w14:paraId="0EC23B0E"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1273" w:type="pct"/>
            <w:tcBorders>
              <w:top w:val="single" w:sz="4" w:space="0" w:color="auto"/>
              <w:left w:val="nil"/>
              <w:bottom w:val="single" w:sz="4" w:space="0" w:color="auto"/>
              <w:right w:val="single" w:sz="4" w:space="0" w:color="auto"/>
            </w:tcBorders>
            <w:vAlign w:val="center"/>
          </w:tcPr>
          <w:p w14:paraId="3D03114E" w14:textId="13DB0906" w:rsidR="00673E1B" w:rsidRDefault="00673E1B" w:rsidP="00931BC5">
            <w:pPr>
              <w:spacing w:before="0" w:after="0" w:line="240" w:lineRule="auto"/>
              <w:rPr>
                <w:rFonts w:eastAsia="Times New Roman" w:cs="Arial"/>
                <w:color w:val="000000"/>
                <w:sz w:val="22"/>
                <w:lang w:eastAsia="es-CO"/>
              </w:rPr>
            </w:pPr>
            <w:r>
              <w:rPr>
                <w:rFonts w:eastAsia="Times New Roman" w:cs="Arial"/>
                <w:color w:val="000000"/>
                <w:sz w:val="22"/>
                <w:lang w:eastAsia="es-CO"/>
              </w:rPr>
              <w:t>Dirección</w:t>
            </w:r>
            <w:r w:rsidRPr="009E4A9D">
              <w:rPr>
                <w:rFonts w:eastAsia="Times New Roman" w:cs="Arial"/>
                <w:color w:val="000000"/>
                <w:sz w:val="22"/>
                <w:lang w:eastAsia="es-CO"/>
              </w:rPr>
              <w:t xml:space="preserve"> de talento humano o quien haga sus veces</w:t>
            </w:r>
          </w:p>
          <w:p w14:paraId="4C60526A" w14:textId="4520E447" w:rsidR="00673E1B" w:rsidRDefault="00673E1B" w:rsidP="009E4A9D">
            <w:pPr>
              <w:spacing w:before="0" w:after="0" w:line="240" w:lineRule="auto"/>
              <w:rPr>
                <w:rFonts w:eastAsia="Times New Roman" w:cs="Arial"/>
                <w:color w:val="000000"/>
                <w:sz w:val="22"/>
                <w:lang w:eastAsia="es-CO"/>
              </w:rPr>
            </w:pPr>
          </w:p>
        </w:tc>
        <w:tc>
          <w:tcPr>
            <w:tcW w:w="1884" w:type="pct"/>
            <w:tcBorders>
              <w:top w:val="single" w:sz="4" w:space="0" w:color="auto"/>
              <w:left w:val="nil"/>
              <w:bottom w:val="single" w:sz="4" w:space="0" w:color="auto"/>
              <w:right w:val="single" w:sz="4" w:space="0" w:color="auto"/>
            </w:tcBorders>
            <w:vAlign w:val="center"/>
          </w:tcPr>
          <w:p w14:paraId="30B99604" w14:textId="46F50636" w:rsidR="00673E1B" w:rsidRPr="009E4A9D" w:rsidRDefault="00673E1B" w:rsidP="00931BC5">
            <w:pPr>
              <w:spacing w:before="0" w:after="0" w:line="240" w:lineRule="auto"/>
              <w:rPr>
                <w:rFonts w:eastAsia="Times New Roman" w:cs="Arial"/>
                <w:color w:val="000000"/>
                <w:sz w:val="22"/>
                <w:lang w:eastAsia="es-CO"/>
              </w:rPr>
            </w:pPr>
            <w:r>
              <w:rPr>
                <w:rFonts w:eastAsia="Times New Roman" w:cs="Arial"/>
                <w:color w:val="000000"/>
                <w:sz w:val="22"/>
                <w:lang w:eastAsia="es-CO"/>
              </w:rPr>
              <w:t>E</w:t>
            </w:r>
            <w:r w:rsidRPr="009E4A9D">
              <w:rPr>
                <w:rFonts w:eastAsia="Times New Roman" w:cs="Arial"/>
                <w:color w:val="000000"/>
                <w:sz w:val="22"/>
                <w:lang w:eastAsia="es-CO"/>
              </w:rPr>
              <w:t>ncargado de monitorear el ciclo del servidor (capacitación,</w:t>
            </w:r>
          </w:p>
          <w:p w14:paraId="26468D8B" w14:textId="28278C30" w:rsidR="00673E1B" w:rsidRDefault="00673E1B" w:rsidP="00931BC5">
            <w:pPr>
              <w:spacing w:before="0" w:after="0" w:line="240" w:lineRule="auto"/>
              <w:rPr>
                <w:rFonts w:eastAsia="Times New Roman" w:cs="Arial"/>
                <w:color w:val="000000"/>
                <w:sz w:val="22"/>
                <w:lang w:eastAsia="es-CO"/>
              </w:rPr>
            </w:pPr>
            <w:r w:rsidRPr="009E4A9D">
              <w:rPr>
                <w:rFonts w:eastAsia="Times New Roman" w:cs="Arial"/>
                <w:color w:val="000000"/>
                <w:sz w:val="22"/>
                <w:lang w:eastAsia="es-CO"/>
              </w:rPr>
              <w:t>bienestar, incentivos, convivencia laboral, código integridad), y generar alertas sobre incumplimientos, situaciones críticas que</w:t>
            </w:r>
            <w:r>
              <w:rPr>
                <w:rFonts w:eastAsia="Times New Roman" w:cs="Arial"/>
                <w:color w:val="000000"/>
                <w:sz w:val="22"/>
                <w:lang w:eastAsia="es-CO"/>
              </w:rPr>
              <w:t xml:space="preserve"> </w:t>
            </w:r>
            <w:r w:rsidRPr="009E4A9D">
              <w:rPr>
                <w:rFonts w:eastAsia="Times New Roman" w:cs="Arial"/>
                <w:color w:val="000000"/>
                <w:sz w:val="22"/>
                <w:lang w:eastAsia="es-CO"/>
              </w:rPr>
              <w:t>afectan en clima laboral y posibles afectaciones al código de integridad, entre otros</w:t>
            </w:r>
          </w:p>
        </w:tc>
      </w:tr>
      <w:tr w:rsidR="00673E1B" w:rsidRPr="00191415" w14:paraId="539039FB" w14:textId="77777777" w:rsidTr="00FB2546">
        <w:trPr>
          <w:trHeight w:val="2107"/>
        </w:trPr>
        <w:tc>
          <w:tcPr>
            <w:tcW w:w="943" w:type="pct"/>
            <w:vMerge/>
            <w:tcBorders>
              <w:top w:val="single" w:sz="4" w:space="0" w:color="auto"/>
              <w:left w:val="single" w:sz="4" w:space="0" w:color="auto"/>
              <w:bottom w:val="single" w:sz="4" w:space="0" w:color="auto"/>
              <w:right w:val="single" w:sz="4" w:space="0" w:color="auto"/>
            </w:tcBorders>
            <w:vAlign w:val="center"/>
          </w:tcPr>
          <w:p w14:paraId="6956B866"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900" w:type="pct"/>
            <w:vMerge/>
            <w:tcBorders>
              <w:top w:val="single" w:sz="4" w:space="0" w:color="auto"/>
              <w:left w:val="nil"/>
              <w:right w:val="single" w:sz="4" w:space="0" w:color="auto"/>
            </w:tcBorders>
            <w:vAlign w:val="center"/>
          </w:tcPr>
          <w:p w14:paraId="3EED1E56"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1273" w:type="pct"/>
            <w:tcBorders>
              <w:top w:val="single" w:sz="4" w:space="0" w:color="auto"/>
              <w:left w:val="nil"/>
              <w:bottom w:val="single" w:sz="4" w:space="0" w:color="auto"/>
              <w:right w:val="single" w:sz="4" w:space="0" w:color="auto"/>
            </w:tcBorders>
            <w:vAlign w:val="center"/>
          </w:tcPr>
          <w:p w14:paraId="29B197B2" w14:textId="7A54337B" w:rsidR="00673E1B" w:rsidRDefault="00673E1B" w:rsidP="009C288C">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Subdirección de Tecnologías de la Información</w:t>
            </w:r>
            <w:r w:rsidRPr="009C288C">
              <w:rPr>
                <w:rFonts w:eastAsia="Times New Roman" w:cs="Arial"/>
                <w:color w:val="000000"/>
                <w:sz w:val="22"/>
                <w:lang w:eastAsia="es-CO"/>
              </w:rPr>
              <w:t xml:space="preserve"> o quien haga sus veces</w:t>
            </w:r>
          </w:p>
        </w:tc>
        <w:tc>
          <w:tcPr>
            <w:tcW w:w="1884" w:type="pct"/>
            <w:tcBorders>
              <w:top w:val="single" w:sz="4" w:space="0" w:color="auto"/>
              <w:left w:val="nil"/>
              <w:bottom w:val="single" w:sz="4" w:space="0" w:color="auto"/>
              <w:right w:val="single" w:sz="4" w:space="0" w:color="auto"/>
            </w:tcBorders>
            <w:vAlign w:val="center"/>
          </w:tcPr>
          <w:p w14:paraId="0B47F823" w14:textId="4B35D89A" w:rsidR="00673E1B" w:rsidRPr="009C288C" w:rsidRDefault="00673E1B" w:rsidP="009C288C">
            <w:pPr>
              <w:spacing w:before="0" w:after="0" w:line="240" w:lineRule="auto"/>
              <w:rPr>
                <w:rFonts w:eastAsia="Times New Roman" w:cs="Arial"/>
                <w:color w:val="000000"/>
                <w:sz w:val="22"/>
                <w:lang w:eastAsia="es-CO"/>
              </w:rPr>
            </w:pPr>
            <w:r>
              <w:rPr>
                <w:rFonts w:eastAsia="Times New Roman" w:cs="Arial"/>
                <w:color w:val="000000"/>
                <w:sz w:val="22"/>
                <w:lang w:eastAsia="es-CO"/>
              </w:rPr>
              <w:t>E</w:t>
            </w:r>
            <w:r w:rsidRPr="009C288C">
              <w:rPr>
                <w:rFonts w:eastAsia="Times New Roman" w:cs="Arial"/>
                <w:color w:val="000000"/>
                <w:sz w:val="22"/>
                <w:lang w:eastAsia="es-CO"/>
              </w:rPr>
              <w:t>ncargado de monitorear el plan estratégico de tecnologías de la</w:t>
            </w:r>
          </w:p>
          <w:p w14:paraId="63071354" w14:textId="77777777" w:rsidR="00673E1B" w:rsidRPr="009C288C" w:rsidRDefault="00673E1B" w:rsidP="009C288C">
            <w:pPr>
              <w:spacing w:before="0" w:after="0" w:line="240" w:lineRule="auto"/>
              <w:rPr>
                <w:rFonts w:eastAsia="Times New Roman" w:cs="Arial"/>
                <w:color w:val="000000"/>
                <w:sz w:val="22"/>
                <w:lang w:eastAsia="es-CO"/>
              </w:rPr>
            </w:pPr>
            <w:r w:rsidRPr="009C288C">
              <w:rPr>
                <w:rFonts w:eastAsia="Times New Roman" w:cs="Arial"/>
                <w:color w:val="000000"/>
                <w:sz w:val="22"/>
                <w:lang w:eastAsia="es-CO"/>
              </w:rPr>
              <w:t>Información - PETI, y generar alertas sobre retrasos, incumplimientos u otras situaciones de riesgo detectadas en materia de</w:t>
            </w:r>
          </w:p>
          <w:p w14:paraId="1D1541F6" w14:textId="217D7BB2" w:rsidR="00673E1B" w:rsidRDefault="00673E1B" w:rsidP="009C288C">
            <w:pPr>
              <w:spacing w:before="0" w:after="0" w:line="240" w:lineRule="auto"/>
              <w:rPr>
                <w:rFonts w:eastAsia="Times New Roman" w:cs="Arial"/>
                <w:color w:val="000000"/>
                <w:sz w:val="22"/>
                <w:lang w:eastAsia="es-CO"/>
              </w:rPr>
            </w:pPr>
            <w:r w:rsidRPr="009C288C">
              <w:rPr>
                <w:rFonts w:eastAsia="Times New Roman" w:cs="Arial"/>
                <w:color w:val="000000"/>
                <w:sz w:val="22"/>
                <w:lang w:eastAsia="es-CO"/>
              </w:rPr>
              <w:t>tecnología</w:t>
            </w:r>
          </w:p>
        </w:tc>
      </w:tr>
      <w:tr w:rsidR="00673E1B" w:rsidRPr="00191415" w14:paraId="2862C60E" w14:textId="77777777" w:rsidTr="00673E1B">
        <w:trPr>
          <w:trHeight w:val="1554"/>
        </w:trPr>
        <w:tc>
          <w:tcPr>
            <w:tcW w:w="943" w:type="pct"/>
            <w:vMerge/>
            <w:tcBorders>
              <w:top w:val="nil"/>
              <w:left w:val="single" w:sz="4" w:space="0" w:color="auto"/>
              <w:bottom w:val="single" w:sz="4" w:space="0" w:color="auto"/>
              <w:right w:val="single" w:sz="4" w:space="0" w:color="auto"/>
            </w:tcBorders>
            <w:vAlign w:val="center"/>
          </w:tcPr>
          <w:p w14:paraId="6D075CD0"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900" w:type="pct"/>
            <w:vMerge/>
            <w:tcBorders>
              <w:left w:val="nil"/>
              <w:bottom w:val="single" w:sz="4" w:space="0" w:color="auto"/>
              <w:right w:val="single" w:sz="4" w:space="0" w:color="auto"/>
            </w:tcBorders>
            <w:vAlign w:val="center"/>
          </w:tcPr>
          <w:p w14:paraId="4E809B5C" w14:textId="77777777" w:rsidR="00673E1B" w:rsidRPr="00282656" w:rsidRDefault="00673E1B" w:rsidP="00E54FC9">
            <w:pPr>
              <w:spacing w:before="0" w:after="0" w:line="240" w:lineRule="auto"/>
              <w:rPr>
                <w:rFonts w:eastAsia="Times New Roman" w:cs="Arial"/>
                <w:b/>
                <w:bCs/>
                <w:color w:val="000000"/>
                <w:sz w:val="22"/>
                <w:lang w:eastAsia="es-CO"/>
              </w:rPr>
            </w:pPr>
          </w:p>
        </w:tc>
        <w:tc>
          <w:tcPr>
            <w:tcW w:w="1273" w:type="pct"/>
            <w:tcBorders>
              <w:top w:val="nil"/>
              <w:left w:val="nil"/>
              <w:bottom w:val="single" w:sz="4" w:space="0" w:color="auto"/>
              <w:right w:val="single" w:sz="4" w:space="0" w:color="auto"/>
            </w:tcBorders>
            <w:vAlign w:val="center"/>
          </w:tcPr>
          <w:p w14:paraId="36D505BE" w14:textId="18273855" w:rsidR="00673E1B" w:rsidRDefault="00673E1B" w:rsidP="00137F76">
            <w:pPr>
              <w:spacing w:before="0" w:after="0" w:line="240" w:lineRule="auto"/>
              <w:rPr>
                <w:rFonts w:eastAsia="Times New Roman" w:cs="Arial"/>
                <w:color w:val="000000"/>
                <w:sz w:val="22"/>
                <w:lang w:eastAsia="es-CO"/>
              </w:rPr>
            </w:pPr>
            <w:r>
              <w:rPr>
                <w:rFonts w:eastAsia="Times New Roman" w:cs="Arial"/>
                <w:color w:val="000000"/>
                <w:sz w:val="22"/>
                <w:lang w:eastAsia="es-CO"/>
              </w:rPr>
              <w:t>Dirección</w:t>
            </w:r>
            <w:r w:rsidRPr="00137F76">
              <w:rPr>
                <w:rFonts w:eastAsia="Times New Roman" w:cs="Arial"/>
                <w:color w:val="000000"/>
                <w:sz w:val="22"/>
                <w:lang w:eastAsia="es-CO"/>
              </w:rPr>
              <w:t xml:space="preserve"> jurídica</w:t>
            </w:r>
            <w:r>
              <w:rPr>
                <w:rFonts w:eastAsia="Times New Roman" w:cs="Arial"/>
                <w:color w:val="000000"/>
                <w:sz w:val="22"/>
                <w:lang w:eastAsia="es-CO"/>
              </w:rPr>
              <w:t xml:space="preserve"> </w:t>
            </w:r>
            <w:r w:rsidRPr="00137F76">
              <w:rPr>
                <w:rFonts w:eastAsia="Times New Roman" w:cs="Arial"/>
                <w:color w:val="000000"/>
                <w:sz w:val="22"/>
                <w:lang w:eastAsia="es-CO"/>
              </w:rPr>
              <w:t>o quien haga sus veces</w:t>
            </w:r>
          </w:p>
        </w:tc>
        <w:tc>
          <w:tcPr>
            <w:tcW w:w="1884" w:type="pct"/>
            <w:tcBorders>
              <w:top w:val="nil"/>
              <w:left w:val="nil"/>
              <w:bottom w:val="single" w:sz="4" w:space="0" w:color="auto"/>
              <w:right w:val="single" w:sz="4" w:space="0" w:color="auto"/>
            </w:tcBorders>
            <w:vAlign w:val="center"/>
          </w:tcPr>
          <w:p w14:paraId="254A2464" w14:textId="39F64175" w:rsidR="00673E1B" w:rsidRDefault="00673E1B" w:rsidP="00137F76">
            <w:pPr>
              <w:spacing w:before="0" w:after="0" w:line="240" w:lineRule="auto"/>
              <w:rPr>
                <w:rFonts w:eastAsia="Times New Roman" w:cs="Arial"/>
                <w:color w:val="000000"/>
                <w:sz w:val="22"/>
                <w:lang w:eastAsia="es-CO"/>
              </w:rPr>
            </w:pPr>
            <w:r>
              <w:rPr>
                <w:rFonts w:eastAsia="Times New Roman" w:cs="Arial"/>
                <w:color w:val="000000"/>
                <w:sz w:val="22"/>
                <w:lang w:eastAsia="es-CO"/>
              </w:rPr>
              <w:t>E</w:t>
            </w:r>
            <w:r w:rsidRPr="00137F76">
              <w:rPr>
                <w:rFonts w:eastAsia="Times New Roman" w:cs="Arial"/>
                <w:color w:val="000000"/>
                <w:sz w:val="22"/>
                <w:lang w:eastAsia="es-CO"/>
              </w:rPr>
              <w:t>ncargado de monitorear la gestión jurídica, y</w:t>
            </w:r>
            <w:r>
              <w:rPr>
                <w:rFonts w:eastAsia="Times New Roman" w:cs="Arial"/>
                <w:color w:val="000000"/>
                <w:sz w:val="22"/>
                <w:lang w:eastAsia="es-CO"/>
              </w:rPr>
              <w:t xml:space="preserve"> </w:t>
            </w:r>
            <w:r w:rsidRPr="00137F76">
              <w:rPr>
                <w:rFonts w:eastAsia="Times New Roman" w:cs="Arial"/>
                <w:color w:val="000000"/>
                <w:sz w:val="22"/>
                <w:lang w:eastAsia="es-CO"/>
              </w:rPr>
              <w:t>generar alertas sobre retrasos, incumplimientos u otras situaciones de riesgo detectadas en esta materia</w:t>
            </w:r>
          </w:p>
        </w:tc>
      </w:tr>
      <w:tr w:rsidR="00E54FC9" w:rsidRPr="00191415" w14:paraId="5A13A739" w14:textId="77777777" w:rsidTr="002F5244">
        <w:trPr>
          <w:trHeight w:val="1585"/>
        </w:trPr>
        <w:tc>
          <w:tcPr>
            <w:tcW w:w="943" w:type="pct"/>
            <w:vMerge/>
            <w:tcBorders>
              <w:top w:val="nil"/>
              <w:left w:val="single" w:sz="4" w:space="0" w:color="auto"/>
              <w:bottom w:val="single" w:sz="4" w:space="0" w:color="auto"/>
              <w:right w:val="single" w:sz="4" w:space="0" w:color="auto"/>
            </w:tcBorders>
            <w:vAlign w:val="center"/>
            <w:hideMark/>
          </w:tcPr>
          <w:p w14:paraId="05CC1076" w14:textId="77777777" w:rsidR="00E54FC9" w:rsidRPr="00282656" w:rsidRDefault="00E54FC9" w:rsidP="00E54FC9">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00A0223D" w14:textId="0BD3EF5F" w:rsidR="00E54FC9" w:rsidRPr="00282656" w:rsidRDefault="00E54FC9" w:rsidP="00E54FC9">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3ra Línea</w:t>
            </w:r>
          </w:p>
        </w:tc>
        <w:tc>
          <w:tcPr>
            <w:tcW w:w="1273" w:type="pct"/>
            <w:tcBorders>
              <w:top w:val="nil"/>
              <w:left w:val="nil"/>
              <w:bottom w:val="single" w:sz="4" w:space="0" w:color="auto"/>
              <w:right w:val="single" w:sz="4" w:space="0" w:color="auto"/>
            </w:tcBorders>
            <w:vAlign w:val="center"/>
            <w:hideMark/>
          </w:tcPr>
          <w:p w14:paraId="1A4E2773" w14:textId="77777777" w:rsidR="00E54FC9" w:rsidRPr="00282656" w:rsidRDefault="00E54FC9"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Oficina de Control Interno</w:t>
            </w:r>
          </w:p>
        </w:tc>
        <w:tc>
          <w:tcPr>
            <w:tcW w:w="1884" w:type="pct"/>
            <w:tcBorders>
              <w:top w:val="nil"/>
              <w:left w:val="nil"/>
              <w:bottom w:val="single" w:sz="4" w:space="0" w:color="auto"/>
              <w:right w:val="single" w:sz="4" w:space="0" w:color="auto"/>
            </w:tcBorders>
            <w:vAlign w:val="center"/>
            <w:hideMark/>
          </w:tcPr>
          <w:p w14:paraId="434C1D7A" w14:textId="0A96B631" w:rsidR="00E54FC9" w:rsidRPr="00282656" w:rsidRDefault="00E54FC9"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 xml:space="preserve">Auditar </w:t>
            </w:r>
            <w:r w:rsidR="00E86E4C" w:rsidRPr="00282656">
              <w:rPr>
                <w:rFonts w:eastAsia="Times New Roman" w:cs="Arial"/>
                <w:color w:val="000000"/>
                <w:sz w:val="22"/>
                <w:lang w:eastAsia="es-CO"/>
              </w:rPr>
              <w:t>y</w:t>
            </w:r>
            <w:r w:rsidR="009A0E30" w:rsidRPr="00282656">
              <w:rPr>
                <w:rFonts w:eastAsia="Times New Roman" w:cs="Arial"/>
                <w:color w:val="000000"/>
                <w:sz w:val="22"/>
                <w:lang w:eastAsia="es-CO"/>
              </w:rPr>
              <w:t xml:space="preserve"> realizar seguimiento a la gestión</w:t>
            </w:r>
            <w:r w:rsidRPr="00282656">
              <w:rPr>
                <w:rFonts w:eastAsia="Times New Roman" w:cs="Arial"/>
                <w:color w:val="000000"/>
                <w:sz w:val="22"/>
                <w:lang w:eastAsia="es-CO"/>
              </w:rPr>
              <w:t>, evaluar cumplimiento normativo</w:t>
            </w:r>
            <w:r w:rsidR="00AB4DA5">
              <w:rPr>
                <w:rFonts w:eastAsia="Times New Roman" w:cs="Arial"/>
                <w:color w:val="000000"/>
                <w:sz w:val="22"/>
                <w:lang w:eastAsia="es-CO"/>
              </w:rPr>
              <w:t xml:space="preserve"> y la efectividad de los controles</w:t>
            </w:r>
            <w:r w:rsidRPr="00282656">
              <w:rPr>
                <w:rFonts w:eastAsia="Times New Roman" w:cs="Arial"/>
                <w:color w:val="000000"/>
                <w:sz w:val="22"/>
                <w:lang w:eastAsia="es-CO"/>
              </w:rPr>
              <w:t xml:space="preserve">, </w:t>
            </w:r>
            <w:r w:rsidR="00726C6D" w:rsidRPr="00282656">
              <w:rPr>
                <w:rFonts w:eastAsia="Times New Roman" w:cs="Arial"/>
                <w:color w:val="000000"/>
                <w:sz w:val="22"/>
                <w:lang w:eastAsia="es-CO"/>
              </w:rPr>
              <w:t>genera</w:t>
            </w:r>
            <w:r w:rsidR="00B651B9" w:rsidRPr="00282656">
              <w:rPr>
                <w:rFonts w:eastAsia="Times New Roman" w:cs="Arial"/>
                <w:color w:val="000000"/>
                <w:sz w:val="22"/>
                <w:lang w:eastAsia="es-CO"/>
              </w:rPr>
              <w:t>r hallazgos</w:t>
            </w:r>
            <w:r w:rsidR="00DF4B58" w:rsidRPr="00282656">
              <w:rPr>
                <w:rFonts w:eastAsia="Times New Roman" w:cs="Arial"/>
                <w:color w:val="000000"/>
                <w:sz w:val="22"/>
                <w:lang w:eastAsia="es-CO"/>
              </w:rPr>
              <w:t>, reportar desviaciones y eventos de materialización.</w:t>
            </w:r>
          </w:p>
        </w:tc>
      </w:tr>
      <w:tr w:rsidR="00E54FC9" w:rsidRPr="00191415" w14:paraId="1C7EF8CD" w14:textId="77777777" w:rsidTr="002F5244">
        <w:trPr>
          <w:trHeight w:val="1126"/>
        </w:trPr>
        <w:tc>
          <w:tcPr>
            <w:tcW w:w="943" w:type="pct"/>
            <w:vMerge w:val="restart"/>
            <w:tcBorders>
              <w:top w:val="nil"/>
              <w:left w:val="single" w:sz="4" w:space="0" w:color="auto"/>
              <w:bottom w:val="single" w:sz="4" w:space="0" w:color="auto"/>
              <w:right w:val="single" w:sz="4" w:space="0" w:color="auto"/>
            </w:tcBorders>
            <w:vAlign w:val="center"/>
            <w:hideMark/>
          </w:tcPr>
          <w:p w14:paraId="3F032C65" w14:textId="77777777" w:rsidR="00E54FC9" w:rsidRPr="00282656" w:rsidRDefault="00E54FC9" w:rsidP="00E54FC9">
            <w:pPr>
              <w:spacing w:before="0" w:after="0" w:line="240" w:lineRule="auto"/>
              <w:jc w:val="center"/>
              <w:rPr>
                <w:rFonts w:eastAsia="Times New Roman" w:cs="Arial"/>
                <w:b/>
                <w:bCs/>
                <w:color w:val="000000"/>
                <w:sz w:val="22"/>
                <w:lang w:eastAsia="es-CO"/>
              </w:rPr>
            </w:pPr>
            <w:r w:rsidRPr="00282656">
              <w:rPr>
                <w:rFonts w:eastAsia="Times New Roman" w:cs="Arial"/>
                <w:b/>
                <w:bCs/>
                <w:color w:val="000000"/>
                <w:sz w:val="22"/>
                <w:lang w:eastAsia="es-CO"/>
              </w:rPr>
              <w:t>Riesgos de seguridad de la información</w:t>
            </w:r>
          </w:p>
        </w:tc>
        <w:tc>
          <w:tcPr>
            <w:tcW w:w="900" w:type="pct"/>
            <w:tcBorders>
              <w:top w:val="nil"/>
              <w:left w:val="nil"/>
              <w:bottom w:val="single" w:sz="4" w:space="0" w:color="auto"/>
              <w:right w:val="single" w:sz="4" w:space="0" w:color="auto"/>
            </w:tcBorders>
            <w:vAlign w:val="center"/>
            <w:hideMark/>
          </w:tcPr>
          <w:p w14:paraId="77CAEDBD" w14:textId="0419F2B4" w:rsidR="00E54FC9" w:rsidRPr="00282656" w:rsidRDefault="00E54FC9" w:rsidP="00E54FC9">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1ra Línea</w:t>
            </w:r>
          </w:p>
        </w:tc>
        <w:tc>
          <w:tcPr>
            <w:tcW w:w="1273" w:type="pct"/>
            <w:tcBorders>
              <w:top w:val="nil"/>
              <w:left w:val="nil"/>
              <w:bottom w:val="single" w:sz="4" w:space="0" w:color="auto"/>
              <w:right w:val="single" w:sz="4" w:space="0" w:color="auto"/>
            </w:tcBorders>
            <w:vAlign w:val="center"/>
            <w:hideMark/>
          </w:tcPr>
          <w:p w14:paraId="3F0F5DB4" w14:textId="3BFE41FC" w:rsidR="00E54FC9" w:rsidRPr="00282656" w:rsidRDefault="00854CD2"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 xml:space="preserve">Líderes de proceso y </w:t>
            </w:r>
            <w:proofErr w:type="gramStart"/>
            <w:r w:rsidRPr="00282656">
              <w:rPr>
                <w:rFonts w:eastAsia="Times New Roman" w:cs="Arial"/>
                <w:color w:val="000000"/>
                <w:sz w:val="22"/>
                <w:lang w:eastAsia="es-CO"/>
              </w:rPr>
              <w:t>Directores</w:t>
            </w:r>
            <w:proofErr w:type="gramEnd"/>
            <w:r w:rsidRPr="00282656">
              <w:rPr>
                <w:rFonts w:eastAsia="Times New Roman" w:cs="Arial"/>
                <w:color w:val="000000"/>
                <w:sz w:val="22"/>
                <w:lang w:eastAsia="es-CO"/>
              </w:rPr>
              <w:t xml:space="preserve"> de proyecto</w:t>
            </w:r>
          </w:p>
        </w:tc>
        <w:tc>
          <w:tcPr>
            <w:tcW w:w="1884" w:type="pct"/>
            <w:tcBorders>
              <w:top w:val="nil"/>
              <w:left w:val="nil"/>
              <w:bottom w:val="single" w:sz="4" w:space="0" w:color="auto"/>
              <w:right w:val="single" w:sz="4" w:space="0" w:color="auto"/>
            </w:tcBorders>
            <w:vAlign w:val="center"/>
            <w:hideMark/>
          </w:tcPr>
          <w:p w14:paraId="4B8A878D" w14:textId="74A96D39" w:rsidR="00E54FC9" w:rsidRPr="00282656" w:rsidRDefault="00AD6FAF"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Identificar y gestionar riesgos, c</w:t>
            </w:r>
            <w:r w:rsidR="00E54FC9" w:rsidRPr="00282656">
              <w:rPr>
                <w:rFonts w:eastAsia="Times New Roman" w:cs="Arial"/>
                <w:color w:val="000000"/>
                <w:sz w:val="22"/>
                <w:lang w:eastAsia="es-CO"/>
              </w:rPr>
              <w:t>umplir protocolos de seguridad</w:t>
            </w:r>
            <w:r w:rsidR="00297428" w:rsidRPr="00282656">
              <w:rPr>
                <w:rFonts w:eastAsia="Times New Roman" w:cs="Arial"/>
                <w:color w:val="000000"/>
                <w:sz w:val="22"/>
                <w:lang w:eastAsia="es-CO"/>
              </w:rPr>
              <w:t xml:space="preserve">, </w:t>
            </w:r>
            <w:r w:rsidR="00E54FC9" w:rsidRPr="00282656">
              <w:rPr>
                <w:rFonts w:eastAsia="Times New Roman" w:cs="Arial"/>
                <w:color w:val="000000"/>
                <w:sz w:val="22"/>
                <w:lang w:eastAsia="es-CO"/>
              </w:rPr>
              <w:t xml:space="preserve">reportar incidentes, </w:t>
            </w:r>
            <w:r w:rsidR="00297428" w:rsidRPr="00282656">
              <w:rPr>
                <w:rFonts w:eastAsia="Times New Roman" w:cs="Arial"/>
                <w:color w:val="000000"/>
                <w:sz w:val="22"/>
                <w:lang w:eastAsia="es-CO"/>
              </w:rPr>
              <w:t>y eventos de materialización.</w:t>
            </w:r>
          </w:p>
        </w:tc>
      </w:tr>
      <w:tr w:rsidR="00E54FC9" w:rsidRPr="00191415" w14:paraId="27940F61" w14:textId="77777777" w:rsidTr="002F5244">
        <w:trPr>
          <w:trHeight w:val="1695"/>
        </w:trPr>
        <w:tc>
          <w:tcPr>
            <w:tcW w:w="943" w:type="pct"/>
            <w:vMerge/>
            <w:tcBorders>
              <w:top w:val="nil"/>
              <w:left w:val="single" w:sz="4" w:space="0" w:color="auto"/>
              <w:bottom w:val="single" w:sz="4" w:space="0" w:color="auto"/>
              <w:right w:val="single" w:sz="4" w:space="0" w:color="auto"/>
            </w:tcBorders>
            <w:vAlign w:val="center"/>
            <w:hideMark/>
          </w:tcPr>
          <w:p w14:paraId="4E1B9C60" w14:textId="77777777" w:rsidR="00E54FC9" w:rsidRPr="00282656" w:rsidRDefault="00E54FC9" w:rsidP="00E54FC9">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144AE8CB" w14:textId="49D817F1" w:rsidR="00E54FC9" w:rsidRPr="00282656" w:rsidRDefault="00E54FC9" w:rsidP="00E54FC9">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2da Línea</w:t>
            </w:r>
          </w:p>
        </w:tc>
        <w:tc>
          <w:tcPr>
            <w:tcW w:w="1273" w:type="pct"/>
            <w:tcBorders>
              <w:top w:val="nil"/>
              <w:left w:val="nil"/>
              <w:bottom w:val="single" w:sz="4" w:space="0" w:color="auto"/>
              <w:right w:val="single" w:sz="4" w:space="0" w:color="auto"/>
            </w:tcBorders>
            <w:vAlign w:val="center"/>
            <w:hideMark/>
          </w:tcPr>
          <w:p w14:paraId="18D16607" w14:textId="7C91132D" w:rsidR="00E54FC9" w:rsidRPr="00282656" w:rsidRDefault="0036562B"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Oficial de Seguridad de la Información, Subdirección de Tecnologías de la Información</w:t>
            </w:r>
          </w:p>
        </w:tc>
        <w:tc>
          <w:tcPr>
            <w:tcW w:w="1884" w:type="pct"/>
            <w:tcBorders>
              <w:top w:val="nil"/>
              <w:left w:val="nil"/>
              <w:bottom w:val="single" w:sz="4" w:space="0" w:color="auto"/>
              <w:right w:val="single" w:sz="4" w:space="0" w:color="auto"/>
            </w:tcBorders>
            <w:vAlign w:val="center"/>
            <w:hideMark/>
          </w:tcPr>
          <w:p w14:paraId="3443C973" w14:textId="254FDCE8" w:rsidR="00E54FC9" w:rsidRPr="00282656" w:rsidRDefault="006C34B7"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Diseñar metodología, consolidar Mapa de Riesgos, s</w:t>
            </w:r>
            <w:r w:rsidR="00E54FC9" w:rsidRPr="00282656">
              <w:rPr>
                <w:rFonts w:eastAsia="Times New Roman" w:cs="Arial"/>
                <w:color w:val="000000"/>
                <w:sz w:val="22"/>
                <w:lang w:eastAsia="es-CO"/>
              </w:rPr>
              <w:t>upervisar políticas de ciberseguridad, monitorear vulnerabilidades</w:t>
            </w:r>
            <w:r w:rsidRPr="00282656">
              <w:rPr>
                <w:rFonts w:eastAsia="Times New Roman" w:cs="Arial"/>
                <w:color w:val="000000"/>
                <w:sz w:val="22"/>
                <w:lang w:eastAsia="es-CO"/>
              </w:rPr>
              <w:t xml:space="preserve"> y</w:t>
            </w:r>
            <w:r w:rsidR="00E54FC9" w:rsidRPr="00282656">
              <w:rPr>
                <w:rFonts w:eastAsia="Times New Roman" w:cs="Arial"/>
                <w:color w:val="000000"/>
                <w:sz w:val="22"/>
                <w:lang w:eastAsia="es-CO"/>
              </w:rPr>
              <w:t xml:space="preserve"> coordinar respuesta ante incidentes.</w:t>
            </w:r>
          </w:p>
        </w:tc>
      </w:tr>
      <w:tr w:rsidR="00E54FC9" w:rsidRPr="00191415" w14:paraId="7CC3D733" w14:textId="77777777" w:rsidTr="002F5244">
        <w:trPr>
          <w:trHeight w:val="1691"/>
        </w:trPr>
        <w:tc>
          <w:tcPr>
            <w:tcW w:w="943" w:type="pct"/>
            <w:vMerge/>
            <w:tcBorders>
              <w:top w:val="nil"/>
              <w:left w:val="single" w:sz="4" w:space="0" w:color="auto"/>
              <w:bottom w:val="single" w:sz="4" w:space="0" w:color="auto"/>
              <w:right w:val="single" w:sz="4" w:space="0" w:color="auto"/>
            </w:tcBorders>
            <w:vAlign w:val="center"/>
            <w:hideMark/>
          </w:tcPr>
          <w:p w14:paraId="761EC477" w14:textId="77777777" w:rsidR="00E54FC9" w:rsidRPr="00282656" w:rsidRDefault="00E54FC9" w:rsidP="00E54FC9">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15640D55" w14:textId="6D3497FF" w:rsidR="00E54FC9" w:rsidRPr="00282656" w:rsidRDefault="00E54FC9" w:rsidP="00E54FC9">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3ra Línea</w:t>
            </w:r>
          </w:p>
        </w:tc>
        <w:tc>
          <w:tcPr>
            <w:tcW w:w="1273" w:type="pct"/>
            <w:tcBorders>
              <w:top w:val="nil"/>
              <w:left w:val="nil"/>
              <w:bottom w:val="single" w:sz="4" w:space="0" w:color="auto"/>
              <w:right w:val="single" w:sz="4" w:space="0" w:color="auto"/>
            </w:tcBorders>
            <w:vAlign w:val="center"/>
            <w:hideMark/>
          </w:tcPr>
          <w:p w14:paraId="3A603259" w14:textId="0371DA94" w:rsidR="00E54FC9" w:rsidRPr="00282656" w:rsidRDefault="00FA5F96"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Oficina de Control Interno</w:t>
            </w:r>
          </w:p>
        </w:tc>
        <w:tc>
          <w:tcPr>
            <w:tcW w:w="1884" w:type="pct"/>
            <w:tcBorders>
              <w:top w:val="nil"/>
              <w:left w:val="nil"/>
              <w:bottom w:val="single" w:sz="4" w:space="0" w:color="auto"/>
              <w:right w:val="single" w:sz="4" w:space="0" w:color="auto"/>
            </w:tcBorders>
            <w:vAlign w:val="center"/>
            <w:hideMark/>
          </w:tcPr>
          <w:p w14:paraId="17784A37" w14:textId="2849EA63" w:rsidR="00E54FC9" w:rsidRPr="00282656" w:rsidRDefault="00111AD5" w:rsidP="00E54FC9">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Auditar y realizar seguimiento a la gestión, e</w:t>
            </w:r>
            <w:r w:rsidR="00E54FC9" w:rsidRPr="00282656">
              <w:rPr>
                <w:rFonts w:eastAsia="Times New Roman" w:cs="Arial"/>
                <w:color w:val="000000"/>
                <w:sz w:val="22"/>
                <w:lang w:eastAsia="es-CO"/>
              </w:rPr>
              <w:t xml:space="preserve">valuar </w:t>
            </w:r>
            <w:r w:rsidR="00CF6AFC">
              <w:rPr>
                <w:rFonts w:eastAsia="Times New Roman" w:cs="Arial"/>
                <w:color w:val="000000"/>
                <w:sz w:val="22"/>
                <w:lang w:eastAsia="es-CO"/>
              </w:rPr>
              <w:t xml:space="preserve">la efectividad de los </w:t>
            </w:r>
            <w:r w:rsidR="00E54FC9" w:rsidRPr="00282656">
              <w:rPr>
                <w:rFonts w:eastAsia="Times New Roman" w:cs="Arial"/>
                <w:color w:val="000000"/>
                <w:sz w:val="22"/>
                <w:lang w:eastAsia="es-CO"/>
              </w:rPr>
              <w:t>controles tecnológicos, revisar gestión de incidentes</w:t>
            </w:r>
            <w:r w:rsidRPr="00282656">
              <w:rPr>
                <w:rFonts w:eastAsia="Times New Roman" w:cs="Arial"/>
                <w:color w:val="000000"/>
                <w:sz w:val="22"/>
                <w:lang w:eastAsia="es-CO"/>
              </w:rPr>
              <w:t>, generar hallazgos, reportar desviaciones y eventos de materialización.</w:t>
            </w:r>
          </w:p>
        </w:tc>
      </w:tr>
      <w:tr w:rsidR="00035EEE" w:rsidRPr="00191415" w14:paraId="228F9436" w14:textId="77777777" w:rsidTr="002F5244">
        <w:trPr>
          <w:trHeight w:val="2268"/>
        </w:trPr>
        <w:tc>
          <w:tcPr>
            <w:tcW w:w="943" w:type="pct"/>
            <w:vMerge w:val="restart"/>
            <w:tcBorders>
              <w:top w:val="nil"/>
              <w:left w:val="single" w:sz="4" w:space="0" w:color="auto"/>
              <w:bottom w:val="single" w:sz="4" w:space="0" w:color="auto"/>
              <w:right w:val="single" w:sz="4" w:space="0" w:color="auto"/>
            </w:tcBorders>
            <w:vAlign w:val="center"/>
            <w:hideMark/>
          </w:tcPr>
          <w:p w14:paraId="6DF4F0F3" w14:textId="77777777" w:rsidR="00035EEE" w:rsidRPr="00282656" w:rsidRDefault="00035EEE" w:rsidP="00035EEE">
            <w:pPr>
              <w:spacing w:before="0" w:after="0" w:line="240" w:lineRule="auto"/>
              <w:jc w:val="center"/>
              <w:rPr>
                <w:rFonts w:eastAsia="Times New Roman" w:cs="Arial"/>
                <w:b/>
                <w:bCs/>
                <w:color w:val="000000"/>
                <w:sz w:val="22"/>
                <w:lang w:eastAsia="es-CO"/>
              </w:rPr>
            </w:pPr>
            <w:r w:rsidRPr="00282656">
              <w:rPr>
                <w:rFonts w:eastAsia="Times New Roman" w:cs="Arial"/>
                <w:b/>
                <w:bCs/>
                <w:color w:val="000000"/>
                <w:sz w:val="22"/>
                <w:lang w:eastAsia="es-CO"/>
              </w:rPr>
              <w:lastRenderedPageBreak/>
              <w:t>Riesgos para la integridad pública</w:t>
            </w:r>
          </w:p>
        </w:tc>
        <w:tc>
          <w:tcPr>
            <w:tcW w:w="900" w:type="pct"/>
            <w:tcBorders>
              <w:top w:val="nil"/>
              <w:left w:val="nil"/>
              <w:bottom w:val="single" w:sz="4" w:space="0" w:color="auto"/>
              <w:right w:val="single" w:sz="4" w:space="0" w:color="auto"/>
            </w:tcBorders>
            <w:vAlign w:val="center"/>
            <w:hideMark/>
          </w:tcPr>
          <w:p w14:paraId="68CC8007" w14:textId="225AAAFA" w:rsidR="00035EEE" w:rsidRPr="00282656" w:rsidRDefault="00035EEE" w:rsidP="00035EEE">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1ra Línea</w:t>
            </w:r>
          </w:p>
        </w:tc>
        <w:tc>
          <w:tcPr>
            <w:tcW w:w="1273" w:type="pct"/>
            <w:tcBorders>
              <w:top w:val="nil"/>
              <w:left w:val="nil"/>
              <w:bottom w:val="single" w:sz="4" w:space="0" w:color="auto"/>
              <w:right w:val="single" w:sz="4" w:space="0" w:color="auto"/>
            </w:tcBorders>
            <w:vAlign w:val="center"/>
            <w:hideMark/>
          </w:tcPr>
          <w:p w14:paraId="08588029" w14:textId="39FA563F" w:rsidR="00035EEE" w:rsidRPr="00282656" w:rsidRDefault="004E3626"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Dirección de Contratación, Responsables de la planeación contractual, Supervisores de contrato</w:t>
            </w:r>
          </w:p>
        </w:tc>
        <w:tc>
          <w:tcPr>
            <w:tcW w:w="1884" w:type="pct"/>
            <w:tcBorders>
              <w:top w:val="nil"/>
              <w:left w:val="nil"/>
              <w:bottom w:val="single" w:sz="4" w:space="0" w:color="auto"/>
              <w:right w:val="single" w:sz="4" w:space="0" w:color="auto"/>
            </w:tcBorders>
            <w:vAlign w:val="center"/>
            <w:hideMark/>
          </w:tcPr>
          <w:p w14:paraId="463962C9" w14:textId="33ACB7C3" w:rsidR="00035EEE" w:rsidRPr="00282656" w:rsidRDefault="00035EEE" w:rsidP="00035EEE">
            <w:pPr>
              <w:spacing w:before="0" w:after="0" w:line="240" w:lineRule="auto"/>
              <w:rPr>
                <w:rFonts w:eastAsia="Times New Roman" w:cs="Arial"/>
                <w:sz w:val="22"/>
                <w:lang w:eastAsia="es-CO"/>
              </w:rPr>
            </w:pPr>
            <w:r w:rsidRPr="00282656">
              <w:rPr>
                <w:rFonts w:eastAsia="Times New Roman" w:cs="Arial"/>
                <w:sz w:val="22"/>
                <w:lang w:eastAsia="es-CO"/>
              </w:rPr>
              <w:t>Identificar y gestionar riesgos en los procesos, aplicar código de ética, gestionar conflictos de interés, aplicar controles, reportar desviaciones y eventos de materialización</w:t>
            </w:r>
            <w:r w:rsidR="007949AD" w:rsidRPr="00282656">
              <w:rPr>
                <w:rFonts w:eastAsia="Times New Roman" w:cs="Arial"/>
                <w:sz w:val="22"/>
                <w:lang w:eastAsia="es-CO"/>
              </w:rPr>
              <w:t xml:space="preserve"> a las autoridades competentes según los procedimientos establecidos</w:t>
            </w:r>
            <w:r w:rsidRPr="00282656">
              <w:rPr>
                <w:rFonts w:eastAsia="Times New Roman" w:cs="Arial"/>
                <w:sz w:val="22"/>
                <w:lang w:eastAsia="es-CO"/>
              </w:rPr>
              <w:t>.</w:t>
            </w:r>
          </w:p>
        </w:tc>
      </w:tr>
      <w:tr w:rsidR="00035EEE" w:rsidRPr="00191415" w14:paraId="7F1F98E1" w14:textId="77777777" w:rsidTr="002F5244">
        <w:trPr>
          <w:trHeight w:val="1677"/>
        </w:trPr>
        <w:tc>
          <w:tcPr>
            <w:tcW w:w="943" w:type="pct"/>
            <w:vMerge/>
            <w:tcBorders>
              <w:top w:val="nil"/>
              <w:left w:val="single" w:sz="4" w:space="0" w:color="auto"/>
              <w:bottom w:val="single" w:sz="4" w:space="0" w:color="auto"/>
              <w:right w:val="single" w:sz="4" w:space="0" w:color="auto"/>
            </w:tcBorders>
            <w:vAlign w:val="center"/>
            <w:hideMark/>
          </w:tcPr>
          <w:p w14:paraId="79359143" w14:textId="77777777" w:rsidR="00035EEE" w:rsidRPr="00282656" w:rsidRDefault="00035EEE" w:rsidP="00035EEE">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1712B9A5" w14:textId="2D55F040" w:rsidR="00035EEE" w:rsidRPr="00282656" w:rsidRDefault="00035EEE" w:rsidP="00035EEE">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2da Línea</w:t>
            </w:r>
          </w:p>
        </w:tc>
        <w:tc>
          <w:tcPr>
            <w:tcW w:w="1273" w:type="pct"/>
            <w:tcBorders>
              <w:top w:val="nil"/>
              <w:left w:val="nil"/>
              <w:bottom w:val="single" w:sz="4" w:space="0" w:color="auto"/>
              <w:right w:val="single" w:sz="4" w:space="0" w:color="auto"/>
            </w:tcBorders>
            <w:vAlign w:val="center"/>
            <w:hideMark/>
          </w:tcPr>
          <w:p w14:paraId="44689D9F" w14:textId="6C1CB1E7" w:rsidR="00035EEE" w:rsidRPr="00282656" w:rsidRDefault="00712EDF"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 xml:space="preserve">Función de Cumplimiento, Comité de Contratación o quien haga sus veces, </w:t>
            </w:r>
            <w:proofErr w:type="gramStart"/>
            <w:r w:rsidRPr="00282656">
              <w:rPr>
                <w:rFonts w:eastAsia="Times New Roman" w:cs="Arial"/>
                <w:color w:val="000000"/>
                <w:sz w:val="22"/>
                <w:lang w:eastAsia="es-CO"/>
              </w:rPr>
              <w:t>Secretaria General</w:t>
            </w:r>
            <w:proofErr w:type="gramEnd"/>
          </w:p>
        </w:tc>
        <w:tc>
          <w:tcPr>
            <w:tcW w:w="1884" w:type="pct"/>
            <w:tcBorders>
              <w:top w:val="nil"/>
              <w:left w:val="nil"/>
              <w:bottom w:val="single" w:sz="4" w:space="0" w:color="auto"/>
              <w:right w:val="single" w:sz="4" w:space="0" w:color="auto"/>
            </w:tcBorders>
            <w:vAlign w:val="center"/>
            <w:hideMark/>
          </w:tcPr>
          <w:p w14:paraId="7C73BCD1" w14:textId="4D96097C" w:rsidR="00035EEE" w:rsidRPr="00282656" w:rsidRDefault="00035EEE"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 xml:space="preserve">Supervisar </w:t>
            </w:r>
            <w:r w:rsidR="00137A09">
              <w:rPr>
                <w:rFonts w:eastAsia="Times New Roman" w:cs="Arial"/>
                <w:color w:val="000000"/>
                <w:sz w:val="22"/>
                <w:lang w:eastAsia="es-CO"/>
              </w:rPr>
              <w:t xml:space="preserve">la implementación del </w:t>
            </w:r>
            <w:r w:rsidRPr="00282656">
              <w:rPr>
                <w:rFonts w:eastAsia="Times New Roman" w:cs="Arial"/>
                <w:color w:val="000000"/>
                <w:sz w:val="22"/>
                <w:lang w:eastAsia="es-CO"/>
              </w:rPr>
              <w:t>Programa de Transparencia</w:t>
            </w:r>
            <w:r w:rsidR="00137A09">
              <w:rPr>
                <w:rFonts w:eastAsia="Times New Roman" w:cs="Arial"/>
                <w:color w:val="000000"/>
                <w:sz w:val="22"/>
                <w:lang w:eastAsia="es-CO"/>
              </w:rPr>
              <w:t xml:space="preserve"> y Ética Pública en el componente programático de Administración de riesgos</w:t>
            </w:r>
            <w:r w:rsidRPr="00282656">
              <w:rPr>
                <w:rFonts w:eastAsia="Times New Roman" w:cs="Arial"/>
                <w:color w:val="000000"/>
                <w:sz w:val="22"/>
                <w:lang w:eastAsia="es-CO"/>
              </w:rPr>
              <w:t>, monitorear controles, consolidar reportes.</w:t>
            </w:r>
          </w:p>
        </w:tc>
      </w:tr>
      <w:tr w:rsidR="00035EEE" w:rsidRPr="00191415" w14:paraId="4D6FBB83" w14:textId="77777777" w:rsidTr="0056288E">
        <w:trPr>
          <w:trHeight w:val="2436"/>
        </w:trPr>
        <w:tc>
          <w:tcPr>
            <w:tcW w:w="943" w:type="pct"/>
            <w:vMerge/>
            <w:tcBorders>
              <w:top w:val="nil"/>
              <w:left w:val="single" w:sz="4" w:space="0" w:color="auto"/>
              <w:bottom w:val="single" w:sz="4" w:space="0" w:color="auto"/>
              <w:right w:val="single" w:sz="4" w:space="0" w:color="auto"/>
            </w:tcBorders>
            <w:vAlign w:val="center"/>
            <w:hideMark/>
          </w:tcPr>
          <w:p w14:paraId="7A38F2C9" w14:textId="77777777" w:rsidR="00035EEE" w:rsidRPr="00282656" w:rsidRDefault="00035EEE" w:rsidP="00035EEE">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75C6FD61" w14:textId="5CA4BAB5" w:rsidR="00035EEE" w:rsidRPr="00282656" w:rsidRDefault="00035EEE" w:rsidP="00035EEE">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3ra Línea</w:t>
            </w:r>
          </w:p>
        </w:tc>
        <w:tc>
          <w:tcPr>
            <w:tcW w:w="1273" w:type="pct"/>
            <w:tcBorders>
              <w:top w:val="nil"/>
              <w:left w:val="nil"/>
              <w:bottom w:val="single" w:sz="4" w:space="0" w:color="auto"/>
              <w:right w:val="single" w:sz="4" w:space="0" w:color="auto"/>
            </w:tcBorders>
            <w:vAlign w:val="center"/>
            <w:hideMark/>
          </w:tcPr>
          <w:p w14:paraId="6DF375E3" w14:textId="77777777" w:rsidR="00035EEE" w:rsidRPr="00282656" w:rsidRDefault="00035EEE"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Oficina de Control Interno</w:t>
            </w:r>
          </w:p>
        </w:tc>
        <w:tc>
          <w:tcPr>
            <w:tcW w:w="1884" w:type="pct"/>
            <w:tcBorders>
              <w:top w:val="nil"/>
              <w:left w:val="nil"/>
              <w:bottom w:val="single" w:sz="4" w:space="0" w:color="auto"/>
              <w:right w:val="single" w:sz="4" w:space="0" w:color="auto"/>
            </w:tcBorders>
            <w:vAlign w:val="center"/>
            <w:hideMark/>
          </w:tcPr>
          <w:p w14:paraId="2FFE64DA" w14:textId="4300C841" w:rsidR="00035EEE" w:rsidRPr="00282656" w:rsidRDefault="00035EEE"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 xml:space="preserve">Auditar políticas </w:t>
            </w:r>
            <w:r w:rsidR="0084293A" w:rsidRPr="0084293A">
              <w:rPr>
                <w:rFonts w:eastAsia="Times New Roman" w:cs="Arial"/>
                <w:color w:val="000000"/>
                <w:sz w:val="22"/>
                <w:lang w:eastAsia="es-CO"/>
              </w:rPr>
              <w:t>antifraude, anticorrupción y antisoborno</w:t>
            </w:r>
            <w:r w:rsidRPr="00282656">
              <w:rPr>
                <w:rFonts w:eastAsia="Times New Roman" w:cs="Arial"/>
                <w:color w:val="000000"/>
                <w:sz w:val="22"/>
                <w:lang w:eastAsia="es-CO"/>
              </w:rPr>
              <w:t xml:space="preserve">, </w:t>
            </w:r>
            <w:r w:rsidR="00876933" w:rsidRPr="00876933">
              <w:rPr>
                <w:rFonts w:eastAsia="Times New Roman" w:cs="Arial"/>
                <w:color w:val="000000"/>
                <w:sz w:val="22"/>
                <w:lang w:eastAsia="es-CO"/>
              </w:rPr>
              <w:t>Auditar y realizar seguimiento a la gestión, evaluar cumplimiento normativo y la efectividad de los controles, generar hallazgos, reportar desviaciones y eventos de materialización.</w:t>
            </w:r>
          </w:p>
        </w:tc>
      </w:tr>
      <w:tr w:rsidR="00035EEE" w:rsidRPr="00191415" w14:paraId="11058547" w14:textId="77777777" w:rsidTr="002F5244">
        <w:trPr>
          <w:trHeight w:val="3305"/>
        </w:trPr>
        <w:tc>
          <w:tcPr>
            <w:tcW w:w="943" w:type="pct"/>
            <w:vMerge w:val="restart"/>
            <w:tcBorders>
              <w:top w:val="nil"/>
              <w:left w:val="single" w:sz="4" w:space="0" w:color="auto"/>
              <w:bottom w:val="single" w:sz="4" w:space="0" w:color="auto"/>
              <w:right w:val="single" w:sz="4" w:space="0" w:color="auto"/>
            </w:tcBorders>
            <w:vAlign w:val="center"/>
            <w:hideMark/>
          </w:tcPr>
          <w:p w14:paraId="527972E5" w14:textId="77777777" w:rsidR="00035EEE" w:rsidRPr="00282656" w:rsidRDefault="00035EEE" w:rsidP="00035EEE">
            <w:pPr>
              <w:spacing w:before="0" w:after="0" w:line="240" w:lineRule="auto"/>
              <w:jc w:val="center"/>
              <w:rPr>
                <w:rFonts w:eastAsia="Times New Roman" w:cs="Arial"/>
                <w:b/>
                <w:bCs/>
                <w:color w:val="000000"/>
                <w:sz w:val="22"/>
                <w:lang w:eastAsia="es-CO"/>
              </w:rPr>
            </w:pPr>
            <w:r w:rsidRPr="00282656">
              <w:rPr>
                <w:rFonts w:eastAsia="Times New Roman" w:cs="Arial"/>
                <w:b/>
                <w:bCs/>
                <w:color w:val="000000"/>
                <w:sz w:val="22"/>
                <w:lang w:eastAsia="es-CO"/>
              </w:rPr>
              <w:t>Riesgos fiscales</w:t>
            </w:r>
          </w:p>
        </w:tc>
        <w:tc>
          <w:tcPr>
            <w:tcW w:w="900" w:type="pct"/>
            <w:tcBorders>
              <w:top w:val="nil"/>
              <w:left w:val="nil"/>
              <w:bottom w:val="single" w:sz="4" w:space="0" w:color="auto"/>
              <w:right w:val="single" w:sz="4" w:space="0" w:color="auto"/>
            </w:tcBorders>
            <w:vAlign w:val="center"/>
            <w:hideMark/>
          </w:tcPr>
          <w:p w14:paraId="1839A106" w14:textId="7DC35CBE" w:rsidR="00035EEE" w:rsidRPr="00282656" w:rsidRDefault="00035EEE" w:rsidP="00035EEE">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1ra Línea</w:t>
            </w:r>
          </w:p>
        </w:tc>
        <w:tc>
          <w:tcPr>
            <w:tcW w:w="1273" w:type="pct"/>
            <w:tcBorders>
              <w:top w:val="nil"/>
              <w:left w:val="nil"/>
              <w:bottom w:val="single" w:sz="4" w:space="0" w:color="auto"/>
              <w:right w:val="single" w:sz="4" w:space="0" w:color="auto"/>
            </w:tcBorders>
            <w:vAlign w:val="center"/>
            <w:hideMark/>
          </w:tcPr>
          <w:p w14:paraId="75E310E2" w14:textId="2A7E44FC" w:rsidR="00035EEE" w:rsidRPr="00282656" w:rsidRDefault="00F5313F"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Gestor fiscal</w:t>
            </w:r>
            <w:r w:rsidR="00A71307">
              <w:rPr>
                <w:rFonts w:eastAsia="Times New Roman" w:cs="Arial"/>
                <w:color w:val="000000"/>
                <w:sz w:val="22"/>
                <w:lang w:eastAsia="es-CO"/>
              </w:rPr>
              <w:t>*</w:t>
            </w:r>
            <w:r w:rsidRPr="00282656">
              <w:rPr>
                <w:rFonts w:eastAsia="Times New Roman" w:cs="Arial"/>
                <w:color w:val="000000"/>
                <w:sz w:val="22"/>
                <w:lang w:eastAsia="es-CO"/>
              </w:rPr>
              <w:t xml:space="preserve"> (Ordenadores y ejecutores del gasto, pagadores, estructuradores de proyectos, responsables de la planeación contractual, supervisores, responsables de labores de cobro, entre otros.)</w:t>
            </w:r>
          </w:p>
        </w:tc>
        <w:tc>
          <w:tcPr>
            <w:tcW w:w="1884" w:type="pct"/>
            <w:tcBorders>
              <w:top w:val="nil"/>
              <w:left w:val="nil"/>
              <w:bottom w:val="single" w:sz="4" w:space="0" w:color="auto"/>
              <w:right w:val="single" w:sz="4" w:space="0" w:color="auto"/>
            </w:tcBorders>
            <w:vAlign w:val="center"/>
            <w:hideMark/>
          </w:tcPr>
          <w:p w14:paraId="230BA6AA" w14:textId="77777777" w:rsidR="00035EEE" w:rsidRPr="00F07E44" w:rsidRDefault="00035EEE" w:rsidP="00035EEE">
            <w:pPr>
              <w:spacing w:before="0" w:after="0" w:line="240" w:lineRule="auto"/>
              <w:rPr>
                <w:rFonts w:eastAsia="Times New Roman" w:cs="Arial"/>
                <w:color w:val="000000"/>
                <w:sz w:val="22"/>
                <w:lang w:eastAsia="es-CO"/>
              </w:rPr>
            </w:pPr>
            <w:r w:rsidRPr="00F07E44">
              <w:rPr>
                <w:rFonts w:eastAsia="Times New Roman" w:cs="Arial"/>
                <w:color w:val="000000"/>
                <w:sz w:val="22"/>
                <w:lang w:eastAsia="es-CO"/>
              </w:rPr>
              <w:t>Garantizar uso adecuado de recursos, aplicar controles en pagos y contratos, reportar irregularidades.</w:t>
            </w:r>
          </w:p>
        </w:tc>
      </w:tr>
      <w:tr w:rsidR="00035EEE" w:rsidRPr="00191415" w14:paraId="0A3E2105" w14:textId="77777777" w:rsidTr="0056288E">
        <w:trPr>
          <w:trHeight w:val="2065"/>
        </w:trPr>
        <w:tc>
          <w:tcPr>
            <w:tcW w:w="943" w:type="pct"/>
            <w:vMerge/>
            <w:tcBorders>
              <w:top w:val="nil"/>
              <w:left w:val="single" w:sz="4" w:space="0" w:color="auto"/>
              <w:bottom w:val="single" w:sz="4" w:space="0" w:color="auto"/>
              <w:right w:val="single" w:sz="4" w:space="0" w:color="auto"/>
            </w:tcBorders>
            <w:vAlign w:val="center"/>
            <w:hideMark/>
          </w:tcPr>
          <w:p w14:paraId="1BD6AD24" w14:textId="77777777" w:rsidR="00035EEE" w:rsidRPr="00282656" w:rsidRDefault="00035EEE" w:rsidP="00035EEE">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15BD0856" w14:textId="3CC246F5" w:rsidR="00035EEE" w:rsidRPr="00282656" w:rsidRDefault="00035EEE" w:rsidP="00035EEE">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2da Línea</w:t>
            </w:r>
          </w:p>
        </w:tc>
        <w:tc>
          <w:tcPr>
            <w:tcW w:w="1273" w:type="pct"/>
            <w:tcBorders>
              <w:top w:val="nil"/>
              <w:left w:val="nil"/>
              <w:bottom w:val="single" w:sz="4" w:space="0" w:color="auto"/>
              <w:right w:val="single" w:sz="4" w:space="0" w:color="auto"/>
            </w:tcBorders>
            <w:vAlign w:val="center"/>
            <w:hideMark/>
          </w:tcPr>
          <w:p w14:paraId="0FF57EF2" w14:textId="735B6609" w:rsidR="00035EEE" w:rsidRPr="00282656" w:rsidRDefault="006A72F7"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Función de Cumplimiento</w:t>
            </w:r>
            <w:r w:rsidR="00B4246B">
              <w:rPr>
                <w:rFonts w:eastAsia="Times New Roman" w:cs="Arial"/>
                <w:color w:val="000000"/>
                <w:sz w:val="22"/>
                <w:lang w:eastAsia="es-CO"/>
              </w:rPr>
              <w:t>*</w:t>
            </w:r>
            <w:r w:rsidR="00B4246B">
              <w:rPr>
                <w:rFonts w:eastAsia="Times New Roman"/>
                <w:color w:val="000000"/>
                <w:sz w:val="22"/>
                <w:lang w:eastAsia="es-CO"/>
              </w:rPr>
              <w:t>*</w:t>
            </w:r>
            <w:r w:rsidRPr="00282656">
              <w:rPr>
                <w:rFonts w:eastAsia="Times New Roman" w:cs="Arial"/>
                <w:color w:val="000000"/>
                <w:sz w:val="22"/>
                <w:lang w:eastAsia="es-CO"/>
              </w:rPr>
              <w:t xml:space="preserve">, Comité de Contratación o quien haga sus veces, Dirección Financiera, </w:t>
            </w:r>
            <w:proofErr w:type="gramStart"/>
            <w:r w:rsidRPr="00282656">
              <w:rPr>
                <w:rFonts w:eastAsia="Times New Roman" w:cs="Arial"/>
                <w:color w:val="000000"/>
                <w:sz w:val="22"/>
                <w:lang w:eastAsia="es-CO"/>
              </w:rPr>
              <w:t>Secretaria General</w:t>
            </w:r>
            <w:proofErr w:type="gramEnd"/>
          </w:p>
        </w:tc>
        <w:tc>
          <w:tcPr>
            <w:tcW w:w="1884" w:type="pct"/>
            <w:tcBorders>
              <w:top w:val="nil"/>
              <w:left w:val="nil"/>
              <w:bottom w:val="single" w:sz="4" w:space="0" w:color="auto"/>
              <w:right w:val="single" w:sz="4" w:space="0" w:color="auto"/>
            </w:tcBorders>
            <w:vAlign w:val="center"/>
            <w:hideMark/>
          </w:tcPr>
          <w:p w14:paraId="5813CA20" w14:textId="77777777" w:rsidR="00035EEE" w:rsidRPr="00282656" w:rsidRDefault="00035EEE"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Validar controles en procesos críticos, monitorear ejecución presupuestal, consolidar alertas.</w:t>
            </w:r>
          </w:p>
        </w:tc>
      </w:tr>
      <w:tr w:rsidR="00035EEE" w:rsidRPr="00191415" w14:paraId="20604124" w14:textId="77777777" w:rsidTr="0056288E">
        <w:trPr>
          <w:trHeight w:val="988"/>
        </w:trPr>
        <w:tc>
          <w:tcPr>
            <w:tcW w:w="943" w:type="pct"/>
            <w:vMerge/>
            <w:tcBorders>
              <w:top w:val="nil"/>
              <w:left w:val="single" w:sz="4" w:space="0" w:color="auto"/>
              <w:bottom w:val="single" w:sz="4" w:space="0" w:color="auto"/>
              <w:right w:val="single" w:sz="4" w:space="0" w:color="auto"/>
            </w:tcBorders>
            <w:vAlign w:val="center"/>
            <w:hideMark/>
          </w:tcPr>
          <w:p w14:paraId="0C8565CE" w14:textId="77777777" w:rsidR="00035EEE" w:rsidRPr="00282656" w:rsidRDefault="00035EEE" w:rsidP="00035EEE">
            <w:pPr>
              <w:spacing w:before="0" w:after="0" w:line="240" w:lineRule="auto"/>
              <w:rPr>
                <w:rFonts w:eastAsia="Times New Roman" w:cs="Arial"/>
                <w:b/>
                <w:bCs/>
                <w:color w:val="000000"/>
                <w:sz w:val="22"/>
                <w:lang w:eastAsia="es-CO"/>
              </w:rPr>
            </w:pPr>
          </w:p>
        </w:tc>
        <w:tc>
          <w:tcPr>
            <w:tcW w:w="900" w:type="pct"/>
            <w:tcBorders>
              <w:top w:val="nil"/>
              <w:left w:val="nil"/>
              <w:bottom w:val="single" w:sz="4" w:space="0" w:color="auto"/>
              <w:right w:val="single" w:sz="4" w:space="0" w:color="auto"/>
            </w:tcBorders>
            <w:vAlign w:val="center"/>
            <w:hideMark/>
          </w:tcPr>
          <w:p w14:paraId="749F5105" w14:textId="342A119D" w:rsidR="00035EEE" w:rsidRPr="00282656" w:rsidRDefault="00035EEE" w:rsidP="00035EEE">
            <w:pPr>
              <w:spacing w:before="0" w:after="0" w:line="240" w:lineRule="auto"/>
              <w:rPr>
                <w:rFonts w:eastAsia="Times New Roman" w:cs="Arial"/>
                <w:b/>
                <w:bCs/>
                <w:color w:val="000000"/>
                <w:sz w:val="22"/>
                <w:lang w:eastAsia="es-CO"/>
              </w:rPr>
            </w:pPr>
            <w:r w:rsidRPr="00282656">
              <w:rPr>
                <w:rFonts w:eastAsia="Times New Roman" w:cs="Arial"/>
                <w:b/>
                <w:bCs/>
                <w:color w:val="000000"/>
                <w:sz w:val="22"/>
                <w:lang w:eastAsia="es-CO"/>
              </w:rPr>
              <w:t>3ra Línea</w:t>
            </w:r>
          </w:p>
        </w:tc>
        <w:tc>
          <w:tcPr>
            <w:tcW w:w="1273" w:type="pct"/>
            <w:tcBorders>
              <w:top w:val="nil"/>
              <w:left w:val="nil"/>
              <w:bottom w:val="single" w:sz="4" w:space="0" w:color="auto"/>
              <w:right w:val="single" w:sz="4" w:space="0" w:color="auto"/>
            </w:tcBorders>
            <w:vAlign w:val="center"/>
            <w:hideMark/>
          </w:tcPr>
          <w:p w14:paraId="1EF42E12" w14:textId="77777777" w:rsidR="00035EEE" w:rsidRPr="00282656" w:rsidRDefault="00035EEE"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Oficina de Control Interno</w:t>
            </w:r>
          </w:p>
        </w:tc>
        <w:tc>
          <w:tcPr>
            <w:tcW w:w="1884" w:type="pct"/>
            <w:tcBorders>
              <w:top w:val="nil"/>
              <w:left w:val="nil"/>
              <w:bottom w:val="single" w:sz="4" w:space="0" w:color="auto"/>
              <w:right w:val="single" w:sz="4" w:space="0" w:color="auto"/>
            </w:tcBorders>
            <w:vAlign w:val="center"/>
            <w:hideMark/>
          </w:tcPr>
          <w:p w14:paraId="189828C1" w14:textId="77777777" w:rsidR="00035EEE" w:rsidRPr="00282656" w:rsidRDefault="00035EEE" w:rsidP="00035EEE">
            <w:pPr>
              <w:spacing w:before="0" w:after="0" w:line="240" w:lineRule="auto"/>
              <w:rPr>
                <w:rFonts w:eastAsia="Times New Roman" w:cs="Arial"/>
                <w:color w:val="000000"/>
                <w:sz w:val="22"/>
                <w:lang w:eastAsia="es-CO"/>
              </w:rPr>
            </w:pPr>
            <w:r w:rsidRPr="00282656">
              <w:rPr>
                <w:rFonts w:eastAsia="Times New Roman" w:cs="Arial"/>
                <w:color w:val="000000"/>
                <w:sz w:val="22"/>
                <w:lang w:eastAsia="es-CO"/>
              </w:rPr>
              <w:t>Evaluar gestión preventiva, verificar protección del patrimonio público, emitir recomendaciones.</w:t>
            </w:r>
          </w:p>
        </w:tc>
      </w:tr>
    </w:tbl>
    <w:p w14:paraId="16C9A1D3" w14:textId="4DE8E5F3" w:rsidR="00BC5C80" w:rsidRPr="00D173B7" w:rsidRDefault="00BD6555" w:rsidP="00D173B7">
      <w:pPr>
        <w:spacing w:before="0" w:after="0"/>
        <w:rPr>
          <w:rFonts w:cs="Arial"/>
          <w:i/>
          <w:iCs/>
          <w:sz w:val="18"/>
          <w:szCs w:val="18"/>
        </w:rPr>
      </w:pPr>
      <w:r w:rsidRPr="00D173B7">
        <w:rPr>
          <w:rFonts w:cs="Arial"/>
          <w:i/>
          <w:iCs/>
          <w:sz w:val="18"/>
          <w:szCs w:val="18"/>
        </w:rPr>
        <w:t>Fuente: Oficina Asesora de Planeación, febrero 2026</w:t>
      </w:r>
    </w:p>
    <w:p w14:paraId="47C2DAF4" w14:textId="77777777" w:rsidR="00E1005C" w:rsidRDefault="00E1005C" w:rsidP="00E1005C">
      <w:pPr>
        <w:spacing w:before="0" w:after="0"/>
        <w:jc w:val="both"/>
        <w:rPr>
          <w:rFonts w:cs="Arial"/>
          <w:i/>
          <w:iCs/>
          <w:szCs w:val="24"/>
        </w:rPr>
      </w:pPr>
    </w:p>
    <w:p w14:paraId="227607A7" w14:textId="2E853805" w:rsidR="00A71307" w:rsidRDefault="00A71307" w:rsidP="00E1005C">
      <w:pPr>
        <w:spacing w:before="0" w:after="0"/>
        <w:jc w:val="both"/>
        <w:rPr>
          <w:rFonts w:cs="Arial"/>
          <w:szCs w:val="24"/>
        </w:rPr>
      </w:pPr>
      <w:r>
        <w:rPr>
          <w:rFonts w:cs="Arial"/>
          <w:i/>
          <w:iCs/>
          <w:szCs w:val="24"/>
        </w:rPr>
        <w:t>*</w:t>
      </w:r>
      <w:r w:rsidRPr="00A71307">
        <w:rPr>
          <w:rFonts w:cs="Arial"/>
          <w:szCs w:val="24"/>
        </w:rPr>
        <w:t xml:space="preserve"> </w:t>
      </w:r>
      <w:r w:rsidRPr="00F20B73">
        <w:rPr>
          <w:rFonts w:cs="Arial"/>
          <w:szCs w:val="24"/>
        </w:rPr>
        <w:t>La denominación de gestor fiscal comprende los jefes de entidad, ordenadores y ejecutores del gasto, pagadores, estructuradores de proyectos, responsables de la planeación contractual, supervisores, responsables de labores de cobro, entre otros roles cuyas funciones u obligaciones incidan en la gestión fiscal.</w:t>
      </w:r>
    </w:p>
    <w:p w14:paraId="272C8F43" w14:textId="6C9EB6BE" w:rsidR="00F7037C" w:rsidRDefault="00B4246B" w:rsidP="00351BE1">
      <w:pPr>
        <w:jc w:val="both"/>
        <w:rPr>
          <w:rFonts w:cs="Arial"/>
          <w:szCs w:val="24"/>
        </w:rPr>
      </w:pPr>
      <w:r>
        <w:rPr>
          <w:rFonts w:cs="Arial"/>
          <w:szCs w:val="24"/>
        </w:rPr>
        <w:t xml:space="preserve">** </w:t>
      </w:r>
      <w:r w:rsidR="00480FE2">
        <w:rPr>
          <w:rFonts w:cs="Arial"/>
          <w:szCs w:val="24"/>
        </w:rPr>
        <w:t>Resolu</w:t>
      </w:r>
      <w:r w:rsidR="0037216A">
        <w:rPr>
          <w:rFonts w:cs="Arial"/>
          <w:szCs w:val="24"/>
        </w:rPr>
        <w:t xml:space="preserve">ción No. </w:t>
      </w:r>
      <w:r w:rsidR="0037216A" w:rsidRPr="0037216A">
        <w:rPr>
          <w:rFonts w:cs="Arial"/>
          <w:szCs w:val="24"/>
        </w:rPr>
        <w:t xml:space="preserve">2025100000012006-6 </w:t>
      </w:r>
      <w:r w:rsidR="0037486F">
        <w:rPr>
          <w:rFonts w:cs="Arial"/>
          <w:szCs w:val="24"/>
        </w:rPr>
        <w:t>“Por la cual se designa la f</w:t>
      </w:r>
      <w:r w:rsidR="0037486F" w:rsidRPr="0037216A">
        <w:rPr>
          <w:rFonts w:cs="Arial"/>
          <w:szCs w:val="24"/>
        </w:rPr>
        <w:t xml:space="preserve">unción </w:t>
      </w:r>
      <w:r w:rsidR="0037486F">
        <w:rPr>
          <w:rFonts w:cs="Arial"/>
          <w:szCs w:val="24"/>
        </w:rPr>
        <w:t xml:space="preserve">de </w:t>
      </w:r>
      <w:r w:rsidR="0037486F" w:rsidRPr="0037216A">
        <w:rPr>
          <w:rFonts w:cs="Arial"/>
          <w:szCs w:val="24"/>
        </w:rPr>
        <w:t xml:space="preserve">cumplimiento </w:t>
      </w:r>
      <w:r w:rsidR="00FD3D1C">
        <w:rPr>
          <w:rFonts w:cs="Arial"/>
          <w:szCs w:val="24"/>
        </w:rPr>
        <w:t xml:space="preserve">en el marco del Sistema de Gestión de Riesgos para la Integridad Pública </w:t>
      </w:r>
      <w:r w:rsidR="00455F7F">
        <w:rPr>
          <w:rFonts w:cs="Arial"/>
          <w:szCs w:val="24"/>
        </w:rPr>
        <w:t>– SIGRIP en la Superintendencia Nacional de Salud y se dictan otras disposiciones</w:t>
      </w:r>
      <w:r w:rsidR="00A6598E">
        <w:rPr>
          <w:rFonts w:cs="Arial"/>
          <w:szCs w:val="24"/>
        </w:rPr>
        <w:t>.</w:t>
      </w:r>
      <w:r w:rsidR="0037486F">
        <w:rPr>
          <w:rFonts w:cs="Arial"/>
          <w:szCs w:val="24"/>
        </w:rPr>
        <w:t>”</w:t>
      </w:r>
    </w:p>
    <w:p w14:paraId="2254E299" w14:textId="6BD25A10" w:rsidR="00ED6756" w:rsidRPr="00592197" w:rsidRDefault="00ED6756" w:rsidP="00FA5F96">
      <w:pPr>
        <w:tabs>
          <w:tab w:val="num" w:pos="360"/>
        </w:tabs>
        <w:rPr>
          <w:rFonts w:cs="Arial"/>
          <w:b/>
          <w:bCs/>
          <w:i/>
          <w:iCs/>
          <w:szCs w:val="24"/>
        </w:rPr>
      </w:pPr>
      <w:r w:rsidRPr="00592197">
        <w:rPr>
          <w:rFonts w:cs="Arial"/>
          <w:b/>
          <w:bCs/>
          <w:i/>
          <w:iCs/>
          <w:szCs w:val="24"/>
        </w:rPr>
        <w:t>Niveles de Aceptación del Riesgo</w:t>
      </w:r>
      <w:r w:rsidR="00CB3F5B">
        <w:rPr>
          <w:rFonts w:cs="Arial"/>
          <w:b/>
          <w:bCs/>
          <w:i/>
          <w:iCs/>
          <w:szCs w:val="24"/>
        </w:rPr>
        <w:t xml:space="preserve"> (Apetito del riesgo)</w:t>
      </w:r>
    </w:p>
    <w:p w14:paraId="4E155409" w14:textId="48CF69FA" w:rsidR="00983DA6" w:rsidRDefault="00983DA6" w:rsidP="005E4670">
      <w:pPr>
        <w:jc w:val="both"/>
        <w:rPr>
          <w:rFonts w:cs="Arial"/>
          <w:szCs w:val="24"/>
        </w:rPr>
      </w:pPr>
      <w:bookmarkStart w:id="4" w:name="_Toc159854087"/>
      <w:bookmarkStart w:id="5" w:name="_Toc159854089"/>
      <w:r w:rsidRPr="005E4670">
        <w:rPr>
          <w:rFonts w:cs="Arial"/>
          <w:szCs w:val="24"/>
        </w:rPr>
        <w:t xml:space="preserve">La </w:t>
      </w:r>
      <w:r w:rsidR="00EB53EA">
        <w:rPr>
          <w:rFonts w:cs="Arial"/>
          <w:szCs w:val="24"/>
        </w:rPr>
        <w:t>Superintendencia Nacional de Salud</w:t>
      </w:r>
      <w:r w:rsidR="00EB53EA" w:rsidRPr="005E4670">
        <w:rPr>
          <w:rFonts w:cs="Arial"/>
          <w:szCs w:val="24"/>
        </w:rPr>
        <w:t xml:space="preserve"> </w:t>
      </w:r>
      <w:r w:rsidRPr="005E4670">
        <w:rPr>
          <w:rFonts w:cs="Arial"/>
          <w:szCs w:val="24"/>
        </w:rPr>
        <w:t>define los niveles de aceptación del riesgo como el grado en que está dispuesta a asumir riesgos residuales, considerando su impacto, probabilidad y naturaleza. Estos niveles se establecen para garantizar la coherencia con los objetivos institucionales y la normativa vigente.</w:t>
      </w:r>
    </w:p>
    <w:p w14:paraId="033BF004" w14:textId="77777777" w:rsidR="00011116" w:rsidRDefault="00011116" w:rsidP="00011116">
      <w:pPr>
        <w:spacing w:before="0" w:after="0"/>
        <w:rPr>
          <w:rFonts w:cs="Arial"/>
          <w:b/>
          <w:bCs/>
          <w:i/>
          <w:iCs/>
          <w:szCs w:val="24"/>
        </w:rPr>
      </w:pPr>
      <w:r w:rsidRPr="00592197">
        <w:rPr>
          <w:rFonts w:cs="Arial"/>
          <w:b/>
          <w:bCs/>
          <w:i/>
          <w:iCs/>
          <w:szCs w:val="24"/>
        </w:rPr>
        <w:lastRenderedPageBreak/>
        <w:t xml:space="preserve">•  Riesgos generales de la gestión y seguridad de la información: </w:t>
      </w:r>
    </w:p>
    <w:p w14:paraId="2E4BF8B1" w14:textId="77777777" w:rsidR="0059544E" w:rsidRDefault="0059544E" w:rsidP="00011116">
      <w:pPr>
        <w:spacing w:before="0" w:after="0"/>
        <w:rPr>
          <w:rFonts w:cs="Arial"/>
          <w:b/>
          <w:bCs/>
          <w:i/>
          <w:iCs/>
          <w:szCs w:val="24"/>
        </w:rPr>
      </w:pPr>
    </w:p>
    <w:p w14:paraId="29F0D430" w14:textId="10CABE2A" w:rsidR="00876D49" w:rsidRPr="00592197" w:rsidRDefault="00876D49" w:rsidP="00876D49">
      <w:pPr>
        <w:pStyle w:val="Descripcin"/>
        <w:rPr>
          <w:rFonts w:cs="Arial"/>
          <w:b/>
          <w:bCs/>
          <w:i w:val="0"/>
          <w:iCs w:val="0"/>
          <w:szCs w:val="24"/>
        </w:rPr>
      </w:pPr>
      <w:r>
        <w:t xml:space="preserve">Tabla </w:t>
      </w:r>
      <w:r>
        <w:fldChar w:fldCharType="begin"/>
      </w:r>
      <w:r>
        <w:instrText xml:space="preserve"> SEQ Tabla \* ARABIC </w:instrText>
      </w:r>
      <w:r>
        <w:fldChar w:fldCharType="separate"/>
      </w:r>
      <w:r>
        <w:rPr>
          <w:noProof/>
        </w:rPr>
        <w:t>4</w:t>
      </w:r>
      <w:r>
        <w:fldChar w:fldCharType="end"/>
      </w:r>
      <w:r>
        <w:t xml:space="preserve">. </w:t>
      </w:r>
      <w:r w:rsidRPr="00345097">
        <w:t>Niveles de Aceptación del Riesgo</w:t>
      </w:r>
    </w:p>
    <w:tbl>
      <w:tblPr>
        <w:tblStyle w:val="Tabladecuadrcula3"/>
        <w:tblW w:w="0" w:type="auto"/>
        <w:tblLook w:val="04A0" w:firstRow="1" w:lastRow="0" w:firstColumn="1" w:lastColumn="0" w:noHBand="0" w:noVBand="1"/>
      </w:tblPr>
      <w:tblGrid>
        <w:gridCol w:w="1504"/>
        <w:gridCol w:w="2019"/>
        <w:gridCol w:w="2513"/>
        <w:gridCol w:w="2802"/>
      </w:tblGrid>
      <w:tr w:rsidR="000F2522" w14:paraId="3BF7B71E" w14:textId="77777777" w:rsidTr="001312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6DB886FC" w14:textId="77777777" w:rsidR="004C2AC1" w:rsidRPr="00905294" w:rsidRDefault="004C2AC1" w:rsidP="005E4670">
            <w:pPr>
              <w:spacing w:before="0" w:after="0"/>
              <w:jc w:val="center"/>
              <w:rPr>
                <w:rFonts w:ascii="Times New Roman" w:hAnsi="Times New Roman" w:cs="Times New Roman"/>
              </w:rPr>
            </w:pPr>
            <w:r w:rsidRPr="00905294">
              <w:t>Nivel</w:t>
            </w:r>
          </w:p>
        </w:tc>
        <w:tc>
          <w:tcPr>
            <w:tcW w:w="0" w:type="auto"/>
            <w:hideMark/>
          </w:tcPr>
          <w:p w14:paraId="5B1F7160" w14:textId="77777777" w:rsidR="004C2AC1" w:rsidRPr="00905294" w:rsidRDefault="004C2AC1" w:rsidP="005E4670">
            <w:pPr>
              <w:spacing w:before="0" w:after="0"/>
              <w:jc w:val="center"/>
              <w:cnfStyle w:val="100000000000" w:firstRow="1" w:lastRow="0" w:firstColumn="0" w:lastColumn="0" w:oddVBand="0" w:evenVBand="0" w:oddHBand="0" w:evenHBand="0" w:firstRowFirstColumn="0" w:firstRowLastColumn="0" w:lastRowFirstColumn="0" w:lastRowLastColumn="0"/>
            </w:pPr>
            <w:r w:rsidRPr="00905294">
              <w:t>Descripción</w:t>
            </w:r>
          </w:p>
        </w:tc>
        <w:tc>
          <w:tcPr>
            <w:tcW w:w="0" w:type="auto"/>
            <w:hideMark/>
          </w:tcPr>
          <w:p w14:paraId="604D4537" w14:textId="77777777" w:rsidR="004C2AC1" w:rsidRPr="00905294" w:rsidRDefault="004C2AC1" w:rsidP="005E4670">
            <w:pPr>
              <w:spacing w:before="0" w:after="0"/>
              <w:jc w:val="center"/>
              <w:cnfStyle w:val="100000000000" w:firstRow="1" w:lastRow="0" w:firstColumn="0" w:lastColumn="0" w:oddVBand="0" w:evenVBand="0" w:oddHBand="0" w:evenHBand="0" w:firstRowFirstColumn="0" w:firstRowLastColumn="0" w:lastRowFirstColumn="0" w:lastRowLastColumn="0"/>
            </w:pPr>
            <w:r w:rsidRPr="00905294">
              <w:t>Decisión</w:t>
            </w:r>
          </w:p>
        </w:tc>
        <w:tc>
          <w:tcPr>
            <w:tcW w:w="0" w:type="auto"/>
            <w:hideMark/>
          </w:tcPr>
          <w:p w14:paraId="0F654AEA" w14:textId="77777777" w:rsidR="004C2AC1" w:rsidRPr="00905294" w:rsidRDefault="004C2AC1" w:rsidP="005E4670">
            <w:pPr>
              <w:spacing w:before="0" w:after="0"/>
              <w:jc w:val="center"/>
              <w:cnfStyle w:val="100000000000" w:firstRow="1" w:lastRow="0" w:firstColumn="0" w:lastColumn="0" w:oddVBand="0" w:evenVBand="0" w:oddHBand="0" w:evenHBand="0" w:firstRowFirstColumn="0" w:firstRowLastColumn="0" w:lastRowFirstColumn="0" w:lastRowLastColumn="0"/>
            </w:pPr>
            <w:r w:rsidRPr="00905294">
              <w:t>Aceptación</w:t>
            </w:r>
          </w:p>
        </w:tc>
      </w:tr>
      <w:tr w:rsidR="000F2522" w14:paraId="2CDA2B08" w14:textId="77777777" w:rsidTr="00BC5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38D803" w14:textId="77777777" w:rsidR="004C2AC1" w:rsidRDefault="004C2AC1" w:rsidP="00905294">
            <w:pPr>
              <w:spacing w:before="0" w:after="0" w:line="240" w:lineRule="auto"/>
              <w:jc w:val="center"/>
              <w:rPr>
                <w:b/>
                <w:bCs/>
              </w:rPr>
            </w:pPr>
            <w:r>
              <w:rPr>
                <w:rStyle w:val="Fuerte"/>
              </w:rPr>
              <w:t>Bajo</w:t>
            </w:r>
          </w:p>
        </w:tc>
        <w:tc>
          <w:tcPr>
            <w:tcW w:w="0" w:type="auto"/>
            <w:hideMark/>
          </w:tcPr>
          <w:p w14:paraId="04C3A3F7" w14:textId="77777777" w:rsidR="004C2AC1" w:rsidRPr="00E931D6" w:rsidRDefault="004C2AC1" w:rsidP="00E1005C">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0"/>
              </w:rPr>
            </w:pPr>
            <w:r w:rsidRPr="00E931D6">
              <w:rPr>
                <w:sz w:val="22"/>
                <w:szCs w:val="20"/>
              </w:rPr>
              <w:t>Riesgo mínimo, controlado</w:t>
            </w:r>
          </w:p>
        </w:tc>
        <w:tc>
          <w:tcPr>
            <w:tcW w:w="0" w:type="auto"/>
            <w:hideMark/>
          </w:tcPr>
          <w:p w14:paraId="6075E909" w14:textId="77777777" w:rsidR="004C2AC1" w:rsidRPr="00E931D6" w:rsidRDefault="004C2AC1" w:rsidP="00E1005C">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0"/>
              </w:rPr>
            </w:pPr>
            <w:r w:rsidRPr="00E931D6">
              <w:rPr>
                <w:sz w:val="22"/>
                <w:szCs w:val="20"/>
              </w:rPr>
              <w:t>Mantener y monitorear</w:t>
            </w:r>
          </w:p>
        </w:tc>
        <w:tc>
          <w:tcPr>
            <w:tcW w:w="0" w:type="auto"/>
            <w:hideMark/>
          </w:tcPr>
          <w:p w14:paraId="2679E1DA" w14:textId="53B1417B" w:rsidR="004C2AC1" w:rsidRPr="00E931D6" w:rsidRDefault="00E57170" w:rsidP="00E1005C">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Aceptar</w:t>
            </w:r>
          </w:p>
        </w:tc>
      </w:tr>
      <w:tr w:rsidR="000F2522" w14:paraId="04657710" w14:textId="77777777" w:rsidTr="00BC539D">
        <w:tc>
          <w:tcPr>
            <w:cnfStyle w:val="001000000000" w:firstRow="0" w:lastRow="0" w:firstColumn="1" w:lastColumn="0" w:oddVBand="0" w:evenVBand="0" w:oddHBand="0" w:evenHBand="0" w:firstRowFirstColumn="0" w:firstRowLastColumn="0" w:lastRowFirstColumn="0" w:lastRowLastColumn="0"/>
            <w:tcW w:w="0" w:type="auto"/>
            <w:hideMark/>
          </w:tcPr>
          <w:p w14:paraId="48B1ACA5" w14:textId="77777777" w:rsidR="004C2AC1" w:rsidRDefault="004C2AC1" w:rsidP="00905294">
            <w:pPr>
              <w:spacing w:before="0" w:after="0" w:line="240" w:lineRule="auto"/>
              <w:jc w:val="center"/>
              <w:rPr>
                <w:b/>
                <w:bCs/>
              </w:rPr>
            </w:pPr>
            <w:r>
              <w:rPr>
                <w:rStyle w:val="Fuerte"/>
              </w:rPr>
              <w:t>Moderado</w:t>
            </w:r>
          </w:p>
        </w:tc>
        <w:tc>
          <w:tcPr>
            <w:tcW w:w="0" w:type="auto"/>
            <w:hideMark/>
          </w:tcPr>
          <w:p w14:paraId="63390E81" w14:textId="77777777" w:rsidR="004C2AC1" w:rsidRPr="00E931D6" w:rsidRDefault="004C2AC1" w:rsidP="00E1005C">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0"/>
              </w:rPr>
            </w:pPr>
            <w:r w:rsidRPr="00E931D6">
              <w:rPr>
                <w:sz w:val="22"/>
                <w:szCs w:val="20"/>
              </w:rPr>
              <w:t>Requiere controles adicionales</w:t>
            </w:r>
          </w:p>
        </w:tc>
        <w:tc>
          <w:tcPr>
            <w:tcW w:w="0" w:type="auto"/>
            <w:hideMark/>
          </w:tcPr>
          <w:p w14:paraId="1EEE5F87" w14:textId="39B769C7" w:rsidR="004C2AC1" w:rsidRPr="00E931D6" w:rsidRDefault="007009B7" w:rsidP="00E1005C">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Definir plan de tratamiento</w:t>
            </w:r>
          </w:p>
        </w:tc>
        <w:tc>
          <w:tcPr>
            <w:tcW w:w="0" w:type="auto"/>
            <w:hideMark/>
          </w:tcPr>
          <w:p w14:paraId="39D390C4" w14:textId="1E553321" w:rsidR="004C2AC1" w:rsidRPr="00E931D6" w:rsidRDefault="00CD3864" w:rsidP="00E1005C">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 xml:space="preserve">Reducir y monitorear a </w:t>
            </w:r>
            <w:r w:rsidR="00C039F4">
              <w:rPr>
                <w:sz w:val="22"/>
                <w:szCs w:val="20"/>
              </w:rPr>
              <w:t>tr</w:t>
            </w:r>
            <w:r>
              <w:rPr>
                <w:sz w:val="22"/>
                <w:szCs w:val="20"/>
              </w:rPr>
              <w:t>avés de la im</w:t>
            </w:r>
            <w:r w:rsidR="00AD2AE2">
              <w:rPr>
                <w:sz w:val="22"/>
                <w:szCs w:val="20"/>
              </w:rPr>
              <w:t>plementación de plan de tratamiento</w:t>
            </w:r>
          </w:p>
        </w:tc>
      </w:tr>
      <w:tr w:rsidR="000F2522" w14:paraId="109B2EA5" w14:textId="77777777" w:rsidTr="00BC53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55BB5" w14:textId="77777777" w:rsidR="007009B7" w:rsidRDefault="007009B7" w:rsidP="00905294">
            <w:pPr>
              <w:spacing w:before="0" w:after="0" w:line="240" w:lineRule="auto"/>
              <w:jc w:val="center"/>
              <w:rPr>
                <w:b/>
                <w:bCs/>
              </w:rPr>
            </w:pPr>
            <w:r>
              <w:rPr>
                <w:rStyle w:val="Fuerte"/>
              </w:rPr>
              <w:t>Alto</w:t>
            </w:r>
          </w:p>
        </w:tc>
        <w:tc>
          <w:tcPr>
            <w:tcW w:w="0" w:type="auto"/>
            <w:hideMark/>
          </w:tcPr>
          <w:p w14:paraId="53EBFFC0" w14:textId="77777777" w:rsidR="007009B7" w:rsidRPr="00E931D6" w:rsidRDefault="007009B7" w:rsidP="00E1005C">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0"/>
              </w:rPr>
            </w:pPr>
            <w:r w:rsidRPr="00E931D6">
              <w:rPr>
                <w:sz w:val="22"/>
                <w:szCs w:val="20"/>
              </w:rPr>
              <w:t>Impacto relevante, requiere mitigación</w:t>
            </w:r>
          </w:p>
        </w:tc>
        <w:tc>
          <w:tcPr>
            <w:tcW w:w="0" w:type="auto"/>
            <w:hideMark/>
          </w:tcPr>
          <w:p w14:paraId="1FBF5027" w14:textId="75E29D0E" w:rsidR="007009B7" w:rsidRPr="00E931D6" w:rsidRDefault="007009B7" w:rsidP="00E1005C">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0"/>
              </w:rPr>
            </w:pPr>
            <w:r w:rsidRPr="00E931D6">
              <w:rPr>
                <w:sz w:val="22"/>
                <w:szCs w:val="20"/>
              </w:rPr>
              <w:t xml:space="preserve">Mejorar controles y </w:t>
            </w:r>
            <w:r>
              <w:rPr>
                <w:sz w:val="22"/>
                <w:szCs w:val="20"/>
              </w:rPr>
              <w:t>definir plan de tratamiento</w:t>
            </w:r>
          </w:p>
        </w:tc>
        <w:tc>
          <w:tcPr>
            <w:tcW w:w="0" w:type="auto"/>
            <w:hideMark/>
          </w:tcPr>
          <w:p w14:paraId="0972B51F" w14:textId="76342078" w:rsidR="007009B7" w:rsidRPr="00E931D6" w:rsidRDefault="007009B7" w:rsidP="00E1005C">
            <w:pPr>
              <w:spacing w:before="0" w:after="0" w:line="240" w:lineRule="auto"/>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Reducir y monitorear a través de la implementación de plan de tratamiento</w:t>
            </w:r>
          </w:p>
        </w:tc>
      </w:tr>
      <w:tr w:rsidR="000F2522" w14:paraId="06C55FC0" w14:textId="77777777" w:rsidTr="00BC539D">
        <w:tc>
          <w:tcPr>
            <w:cnfStyle w:val="001000000000" w:firstRow="0" w:lastRow="0" w:firstColumn="1" w:lastColumn="0" w:oddVBand="0" w:evenVBand="0" w:oddHBand="0" w:evenHBand="0" w:firstRowFirstColumn="0" w:firstRowLastColumn="0" w:lastRowFirstColumn="0" w:lastRowLastColumn="0"/>
            <w:tcW w:w="0" w:type="auto"/>
            <w:hideMark/>
          </w:tcPr>
          <w:p w14:paraId="2C593540" w14:textId="77777777" w:rsidR="00C039F4" w:rsidRDefault="00C039F4" w:rsidP="00905294">
            <w:pPr>
              <w:spacing w:before="0" w:after="0" w:line="240" w:lineRule="auto"/>
              <w:jc w:val="center"/>
              <w:rPr>
                <w:b/>
                <w:bCs/>
              </w:rPr>
            </w:pPr>
            <w:r>
              <w:rPr>
                <w:rStyle w:val="Fuerte"/>
              </w:rPr>
              <w:t>Extremo / Crítico</w:t>
            </w:r>
          </w:p>
        </w:tc>
        <w:tc>
          <w:tcPr>
            <w:tcW w:w="0" w:type="auto"/>
            <w:hideMark/>
          </w:tcPr>
          <w:p w14:paraId="755CB2C3" w14:textId="77777777" w:rsidR="00C039F4" w:rsidRPr="00E931D6" w:rsidRDefault="00C039F4" w:rsidP="00E1005C">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0"/>
              </w:rPr>
            </w:pPr>
            <w:r w:rsidRPr="00E931D6">
              <w:rPr>
                <w:sz w:val="22"/>
                <w:szCs w:val="20"/>
              </w:rPr>
              <w:t>Impacto mayor, amenaza institucional</w:t>
            </w:r>
          </w:p>
        </w:tc>
        <w:tc>
          <w:tcPr>
            <w:tcW w:w="0" w:type="auto"/>
            <w:hideMark/>
          </w:tcPr>
          <w:p w14:paraId="0042CCDE" w14:textId="7773C218" w:rsidR="00C039F4" w:rsidRPr="00E931D6" w:rsidRDefault="000F2522" w:rsidP="00E1005C">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Seguimiento permanente, m</w:t>
            </w:r>
            <w:r w:rsidR="00C039F4" w:rsidRPr="00E931D6">
              <w:rPr>
                <w:sz w:val="22"/>
                <w:szCs w:val="20"/>
              </w:rPr>
              <w:t xml:space="preserve">ejorar controles y </w:t>
            </w:r>
            <w:r w:rsidR="00C039F4">
              <w:rPr>
                <w:sz w:val="22"/>
                <w:szCs w:val="20"/>
              </w:rPr>
              <w:t>definir plan de tratamiento</w:t>
            </w:r>
          </w:p>
        </w:tc>
        <w:tc>
          <w:tcPr>
            <w:tcW w:w="0" w:type="auto"/>
            <w:hideMark/>
          </w:tcPr>
          <w:p w14:paraId="1DBA1507" w14:textId="068EEA3E" w:rsidR="00C039F4" w:rsidRPr="00E931D6" w:rsidRDefault="00C039F4" w:rsidP="00E1005C">
            <w:p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Reducir y monitorear a través de la implementación de plan de tratamiento</w:t>
            </w:r>
          </w:p>
        </w:tc>
      </w:tr>
    </w:tbl>
    <w:p w14:paraId="2B6FD388" w14:textId="77777777" w:rsidR="003D295B" w:rsidRDefault="003D295B" w:rsidP="003D295B">
      <w:pPr>
        <w:rPr>
          <w:rFonts w:cs="Arial"/>
          <w:i/>
          <w:iCs/>
          <w:sz w:val="18"/>
          <w:szCs w:val="18"/>
        </w:rPr>
      </w:pPr>
      <w:r w:rsidRPr="00876D49">
        <w:rPr>
          <w:rFonts w:cs="Arial"/>
          <w:i/>
          <w:iCs/>
          <w:sz w:val="18"/>
          <w:szCs w:val="18"/>
        </w:rPr>
        <w:t>Fuente: Oficina Asesora de Planeación, febrero 2026</w:t>
      </w:r>
    </w:p>
    <w:p w14:paraId="4933EDCA" w14:textId="46AF6151" w:rsidR="00983DA6" w:rsidRPr="00592197" w:rsidRDefault="00983DA6" w:rsidP="00983DA6">
      <w:pPr>
        <w:rPr>
          <w:rFonts w:cs="Arial"/>
          <w:i/>
          <w:iCs/>
          <w:szCs w:val="24"/>
        </w:rPr>
      </w:pPr>
      <w:r w:rsidRPr="00592197">
        <w:rPr>
          <w:rFonts w:cs="Arial"/>
          <w:i/>
          <w:iCs/>
          <w:szCs w:val="24"/>
        </w:rPr>
        <w:t xml:space="preserve">•  </w:t>
      </w:r>
      <w:r w:rsidRPr="00592197">
        <w:rPr>
          <w:rFonts w:cs="Arial"/>
          <w:b/>
          <w:bCs/>
          <w:i/>
          <w:iCs/>
          <w:szCs w:val="24"/>
        </w:rPr>
        <w:t>Riesgos para la integridad pública</w:t>
      </w:r>
      <w:r w:rsidRPr="00592197">
        <w:rPr>
          <w:rFonts w:cs="Arial"/>
          <w:i/>
          <w:iCs/>
          <w:szCs w:val="24"/>
        </w:rPr>
        <w:t xml:space="preserve">: </w:t>
      </w:r>
    </w:p>
    <w:p w14:paraId="7D57C4EE" w14:textId="3A9571E7" w:rsidR="00BB026C" w:rsidRDefault="00983DA6" w:rsidP="00E1005C">
      <w:pPr>
        <w:spacing w:after="0"/>
        <w:jc w:val="both"/>
        <w:rPr>
          <w:rFonts w:cs="Arial"/>
          <w:szCs w:val="24"/>
        </w:rPr>
      </w:pPr>
      <w:r w:rsidRPr="00283A92">
        <w:rPr>
          <w:rFonts w:cs="Arial"/>
          <w:b/>
          <w:bCs/>
          <w:szCs w:val="24"/>
        </w:rPr>
        <w:t>No se acepta ningún nivel de riesgo</w:t>
      </w:r>
      <w:r w:rsidR="00FD41B2" w:rsidRPr="00283A92">
        <w:rPr>
          <w:rFonts w:cs="Arial"/>
          <w:szCs w:val="24"/>
        </w:rPr>
        <w:t xml:space="preserve"> y s</w:t>
      </w:r>
      <w:r w:rsidRPr="00283A92">
        <w:rPr>
          <w:rFonts w:cs="Arial"/>
          <w:szCs w:val="24"/>
        </w:rPr>
        <w:t>iempre deben generar acciones de fortalecimiento y mitigación</w:t>
      </w:r>
      <w:r w:rsidR="00AE6F1E">
        <w:rPr>
          <w:rFonts w:cs="Arial"/>
          <w:szCs w:val="24"/>
        </w:rPr>
        <w:t xml:space="preserve"> </w:t>
      </w:r>
      <w:r w:rsidR="0074096C">
        <w:rPr>
          <w:rFonts w:cs="Arial"/>
          <w:szCs w:val="24"/>
        </w:rPr>
        <w:t>(Plan de tratamiento)</w:t>
      </w:r>
      <w:r w:rsidRPr="00283A92">
        <w:rPr>
          <w:rFonts w:cs="Arial"/>
          <w:szCs w:val="24"/>
        </w:rPr>
        <w:t>.</w:t>
      </w:r>
    </w:p>
    <w:p w14:paraId="238DAB7A" w14:textId="77777777" w:rsidR="00E1005C" w:rsidRDefault="00E1005C" w:rsidP="00FD41B2">
      <w:pPr>
        <w:spacing w:before="0" w:after="0"/>
        <w:rPr>
          <w:rFonts w:cs="Arial"/>
          <w:b/>
          <w:bCs/>
          <w:i/>
          <w:iCs/>
          <w:szCs w:val="24"/>
        </w:rPr>
      </w:pPr>
    </w:p>
    <w:p w14:paraId="687881EE" w14:textId="733DC3CE" w:rsidR="00983DA6" w:rsidRPr="00592197" w:rsidRDefault="00983DA6" w:rsidP="00FD41B2">
      <w:pPr>
        <w:spacing w:before="0" w:after="0"/>
        <w:rPr>
          <w:rFonts w:cs="Arial"/>
          <w:b/>
          <w:bCs/>
          <w:i/>
          <w:iCs/>
          <w:szCs w:val="24"/>
        </w:rPr>
      </w:pPr>
      <w:r w:rsidRPr="00592197">
        <w:rPr>
          <w:rFonts w:cs="Arial"/>
          <w:b/>
          <w:bCs/>
          <w:i/>
          <w:iCs/>
          <w:szCs w:val="24"/>
        </w:rPr>
        <w:t xml:space="preserve">•  Riesgos fiscales: </w:t>
      </w:r>
    </w:p>
    <w:p w14:paraId="6E470054" w14:textId="5627B073" w:rsidR="00983DA6" w:rsidRPr="00587A6E" w:rsidRDefault="00983DA6" w:rsidP="00587A6E">
      <w:pPr>
        <w:jc w:val="both"/>
        <w:rPr>
          <w:rFonts w:cs="Arial"/>
          <w:szCs w:val="24"/>
        </w:rPr>
      </w:pPr>
      <w:r w:rsidRPr="00587A6E">
        <w:rPr>
          <w:rFonts w:cs="Arial"/>
          <w:b/>
          <w:bCs/>
          <w:szCs w:val="24"/>
        </w:rPr>
        <w:t>Se acepta únicamente cuando el impacto es mínimo y existen controles robustos</w:t>
      </w:r>
      <w:r w:rsidRPr="00587A6E">
        <w:rPr>
          <w:rFonts w:cs="Arial"/>
          <w:szCs w:val="24"/>
        </w:rPr>
        <w:t>.</w:t>
      </w:r>
      <w:r w:rsidR="00FD41B2" w:rsidRPr="00587A6E">
        <w:rPr>
          <w:rFonts w:cs="Arial"/>
          <w:szCs w:val="24"/>
        </w:rPr>
        <w:t xml:space="preserve"> Sin embargo, s</w:t>
      </w:r>
      <w:r w:rsidRPr="00587A6E">
        <w:rPr>
          <w:rFonts w:cs="Arial"/>
          <w:szCs w:val="24"/>
        </w:rPr>
        <w:t>e debe mantener seguimiento y evidencia documental.</w:t>
      </w:r>
    </w:p>
    <w:p w14:paraId="0091FFE6" w14:textId="3733A485" w:rsidR="0084004F" w:rsidRDefault="00D8394F" w:rsidP="00E1005C">
      <w:pPr>
        <w:pStyle w:val="Ttulo1"/>
        <w:spacing w:after="0"/>
      </w:pPr>
      <w:r w:rsidRPr="002C3580">
        <w:t>Fases de implementación</w:t>
      </w:r>
      <w:r w:rsidR="00A92F2B" w:rsidRPr="002C3580">
        <w:t xml:space="preserve"> de la polític</w:t>
      </w:r>
      <w:bookmarkEnd w:id="4"/>
      <w:r w:rsidRPr="002C3580">
        <w:t>a</w:t>
      </w:r>
    </w:p>
    <w:p w14:paraId="6BA9B86C" w14:textId="77777777" w:rsidR="00E1005C" w:rsidRDefault="00E1005C" w:rsidP="00876D49">
      <w:pPr>
        <w:pStyle w:val="Descripcin"/>
      </w:pPr>
    </w:p>
    <w:p w14:paraId="75B37701" w14:textId="374BA29A" w:rsidR="00A92F2B" w:rsidRPr="00351BE1" w:rsidRDefault="00876D49" w:rsidP="00876D49">
      <w:pPr>
        <w:pStyle w:val="Descripcin"/>
        <w:rPr>
          <w:rFonts w:cs="Arial"/>
          <w:szCs w:val="24"/>
        </w:rPr>
      </w:pPr>
      <w:r>
        <w:t xml:space="preserve">Tabla </w:t>
      </w:r>
      <w:r>
        <w:fldChar w:fldCharType="begin"/>
      </w:r>
      <w:r>
        <w:instrText xml:space="preserve"> SEQ Tabla \* ARABIC </w:instrText>
      </w:r>
      <w:r>
        <w:fldChar w:fldCharType="separate"/>
      </w:r>
      <w:r>
        <w:rPr>
          <w:noProof/>
        </w:rPr>
        <w:t>5</w:t>
      </w:r>
      <w:r>
        <w:fldChar w:fldCharType="end"/>
      </w:r>
      <w:r>
        <w:t xml:space="preserve">. </w:t>
      </w:r>
      <w:r w:rsidRPr="00EF440F">
        <w:t>Fases de implementación de la política</w:t>
      </w:r>
    </w:p>
    <w:tbl>
      <w:tblPr>
        <w:tblW w:w="5000" w:type="pct"/>
        <w:tblCellMar>
          <w:left w:w="70" w:type="dxa"/>
          <w:right w:w="70" w:type="dxa"/>
        </w:tblCellMar>
        <w:tblLook w:val="04A0" w:firstRow="1" w:lastRow="0" w:firstColumn="1" w:lastColumn="0" w:noHBand="0" w:noVBand="1"/>
      </w:tblPr>
      <w:tblGrid>
        <w:gridCol w:w="3280"/>
        <w:gridCol w:w="5548"/>
      </w:tblGrid>
      <w:tr w:rsidR="00983DA6" w:rsidRPr="00E1005C" w14:paraId="42B98882" w14:textId="77777777" w:rsidTr="006851AA">
        <w:trPr>
          <w:trHeight w:val="288"/>
          <w:tblHeader/>
        </w:trPr>
        <w:tc>
          <w:tcPr>
            <w:tcW w:w="1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14804" w14:textId="77777777" w:rsidR="00983DA6" w:rsidRPr="00E1005C" w:rsidRDefault="00983DA6" w:rsidP="00983DA6">
            <w:pPr>
              <w:spacing w:before="0" w:after="0" w:line="240" w:lineRule="auto"/>
              <w:jc w:val="center"/>
              <w:rPr>
                <w:rFonts w:eastAsia="Times New Roman" w:cs="Arial"/>
                <w:b/>
                <w:bCs/>
                <w:color w:val="000000"/>
                <w:sz w:val="22"/>
                <w:lang w:eastAsia="es-CO"/>
              </w:rPr>
            </w:pPr>
            <w:r w:rsidRPr="00E1005C">
              <w:rPr>
                <w:rFonts w:eastAsia="Times New Roman" w:cs="Arial"/>
                <w:b/>
                <w:bCs/>
                <w:color w:val="000000"/>
                <w:sz w:val="22"/>
                <w:lang w:eastAsia="es-CO"/>
              </w:rPr>
              <w:lastRenderedPageBreak/>
              <w:t>Fase</w:t>
            </w:r>
          </w:p>
        </w:tc>
        <w:tc>
          <w:tcPr>
            <w:tcW w:w="314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94BA3C" w14:textId="77777777" w:rsidR="00983DA6" w:rsidRPr="00E1005C" w:rsidRDefault="00983DA6" w:rsidP="00983DA6">
            <w:pPr>
              <w:spacing w:before="0" w:after="0" w:line="240" w:lineRule="auto"/>
              <w:jc w:val="center"/>
              <w:rPr>
                <w:rFonts w:eastAsia="Times New Roman" w:cs="Arial"/>
                <w:b/>
                <w:bCs/>
                <w:color w:val="000000"/>
                <w:sz w:val="22"/>
                <w:lang w:eastAsia="es-CO"/>
              </w:rPr>
            </w:pPr>
            <w:r w:rsidRPr="00E1005C">
              <w:rPr>
                <w:rFonts w:eastAsia="Times New Roman" w:cs="Arial"/>
                <w:b/>
                <w:bCs/>
                <w:color w:val="000000"/>
                <w:sz w:val="22"/>
                <w:lang w:eastAsia="es-CO"/>
              </w:rPr>
              <w:t>Descripción</w:t>
            </w:r>
          </w:p>
        </w:tc>
      </w:tr>
      <w:tr w:rsidR="00983DA6" w:rsidRPr="00E1005C" w14:paraId="70C42136" w14:textId="77777777" w:rsidTr="00DF2904">
        <w:trPr>
          <w:trHeight w:val="1540"/>
        </w:trPr>
        <w:tc>
          <w:tcPr>
            <w:tcW w:w="1858" w:type="pct"/>
            <w:tcBorders>
              <w:top w:val="nil"/>
              <w:left w:val="single" w:sz="4" w:space="0" w:color="auto"/>
              <w:bottom w:val="single" w:sz="4" w:space="0" w:color="auto"/>
              <w:right w:val="single" w:sz="4" w:space="0" w:color="auto"/>
            </w:tcBorders>
            <w:vAlign w:val="center"/>
            <w:hideMark/>
          </w:tcPr>
          <w:p w14:paraId="62B6AEAD" w14:textId="690551C8" w:rsidR="00640F8A" w:rsidRPr="00E1005C" w:rsidRDefault="00983DA6" w:rsidP="000E209E">
            <w:pPr>
              <w:spacing w:before="0" w:after="0" w:line="240" w:lineRule="auto"/>
              <w:rPr>
                <w:rFonts w:eastAsia="Times New Roman" w:cs="Arial"/>
                <w:b/>
                <w:bCs/>
                <w:color w:val="000000"/>
                <w:sz w:val="22"/>
                <w:lang w:eastAsia="es-CO"/>
              </w:rPr>
            </w:pPr>
            <w:r w:rsidRPr="00E1005C">
              <w:rPr>
                <w:rFonts w:eastAsia="Times New Roman" w:cs="Arial"/>
                <w:b/>
                <w:bCs/>
                <w:color w:val="000000"/>
                <w:sz w:val="22"/>
                <w:lang w:eastAsia="es-CO"/>
              </w:rPr>
              <w:t>1. Planeación y Preparación</w:t>
            </w:r>
          </w:p>
        </w:tc>
        <w:tc>
          <w:tcPr>
            <w:tcW w:w="3142" w:type="pct"/>
            <w:tcBorders>
              <w:top w:val="nil"/>
              <w:left w:val="nil"/>
              <w:bottom w:val="single" w:sz="4" w:space="0" w:color="auto"/>
              <w:right w:val="single" w:sz="4" w:space="0" w:color="auto"/>
            </w:tcBorders>
            <w:vAlign w:val="center"/>
            <w:hideMark/>
          </w:tcPr>
          <w:p w14:paraId="15581FAE" w14:textId="6BD11A1F" w:rsidR="00640F8A" w:rsidRPr="00E1005C" w:rsidRDefault="0092746A" w:rsidP="0092746A">
            <w:pPr>
              <w:spacing w:before="0" w:after="0" w:line="240" w:lineRule="auto"/>
              <w:jc w:val="both"/>
              <w:rPr>
                <w:rFonts w:eastAsia="Times New Roman" w:cs="Arial"/>
                <w:color w:val="000000"/>
                <w:sz w:val="22"/>
                <w:lang w:eastAsia="es-CO"/>
              </w:rPr>
            </w:pPr>
            <w:r w:rsidRPr="00E1005C">
              <w:rPr>
                <w:rFonts w:eastAsia="Times New Roman" w:cs="Arial"/>
                <w:color w:val="000000"/>
                <w:sz w:val="22"/>
                <w:lang w:eastAsia="es-CO"/>
              </w:rPr>
              <w:t>Dise</w:t>
            </w:r>
            <w:r w:rsidR="0059544E" w:rsidRPr="00E1005C">
              <w:rPr>
                <w:rFonts w:eastAsia="Times New Roman" w:cs="Arial"/>
                <w:color w:val="000000"/>
                <w:sz w:val="22"/>
                <w:lang w:eastAsia="es-CO"/>
              </w:rPr>
              <w:t>ñar</w:t>
            </w:r>
            <w:r w:rsidRPr="00E1005C">
              <w:rPr>
                <w:rFonts w:eastAsia="Times New Roman" w:cs="Arial"/>
                <w:color w:val="000000"/>
                <w:sz w:val="22"/>
                <w:lang w:eastAsia="es-CO"/>
              </w:rPr>
              <w:t xml:space="preserve"> y planifica</w:t>
            </w:r>
            <w:r w:rsidR="0059544E" w:rsidRPr="00E1005C">
              <w:rPr>
                <w:rFonts w:eastAsia="Times New Roman" w:cs="Arial"/>
                <w:color w:val="000000"/>
                <w:sz w:val="22"/>
                <w:lang w:eastAsia="es-CO"/>
              </w:rPr>
              <w:t>r</w:t>
            </w:r>
            <w:r w:rsidRPr="00E1005C">
              <w:rPr>
                <w:rFonts w:eastAsia="Times New Roman" w:cs="Arial"/>
                <w:color w:val="000000"/>
                <w:sz w:val="22"/>
                <w:lang w:eastAsia="es-CO"/>
              </w:rPr>
              <w:t xml:space="preserve"> estrategias y acciones orientadas a prevenir riesgos de corrupción, mejorar la transparencia institucional y promover una cultura ética dentro de la entidad.</w:t>
            </w:r>
          </w:p>
        </w:tc>
      </w:tr>
      <w:tr w:rsidR="00983DA6" w:rsidRPr="00E1005C" w14:paraId="793D4BB4" w14:textId="77777777" w:rsidTr="00DF2904">
        <w:trPr>
          <w:trHeight w:val="2965"/>
        </w:trPr>
        <w:tc>
          <w:tcPr>
            <w:tcW w:w="1858" w:type="pct"/>
            <w:tcBorders>
              <w:top w:val="nil"/>
              <w:left w:val="single" w:sz="4" w:space="0" w:color="auto"/>
              <w:bottom w:val="single" w:sz="4" w:space="0" w:color="auto"/>
              <w:right w:val="single" w:sz="4" w:space="0" w:color="auto"/>
            </w:tcBorders>
            <w:vAlign w:val="center"/>
            <w:hideMark/>
          </w:tcPr>
          <w:p w14:paraId="2F3B0E01" w14:textId="70CC864C" w:rsidR="00127D25" w:rsidRPr="00E1005C" w:rsidRDefault="00983DA6" w:rsidP="00127D25">
            <w:pPr>
              <w:spacing w:before="0" w:after="0" w:line="240" w:lineRule="auto"/>
              <w:rPr>
                <w:rFonts w:eastAsia="Times New Roman" w:cs="Arial"/>
                <w:b/>
                <w:bCs/>
                <w:color w:val="000000"/>
                <w:sz w:val="22"/>
                <w:lang w:eastAsia="es-CO"/>
              </w:rPr>
            </w:pPr>
            <w:r w:rsidRPr="00E1005C">
              <w:rPr>
                <w:rFonts w:eastAsia="Times New Roman" w:cs="Arial"/>
                <w:b/>
                <w:bCs/>
                <w:color w:val="000000"/>
                <w:sz w:val="22"/>
                <w:lang w:eastAsia="es-CO"/>
              </w:rPr>
              <w:t>2.</w:t>
            </w:r>
            <w:r w:rsidR="00023D30" w:rsidRPr="00E1005C">
              <w:rPr>
                <w:rFonts w:eastAsia="Times New Roman" w:cs="Arial"/>
                <w:b/>
                <w:bCs/>
                <w:color w:val="000000"/>
                <w:sz w:val="22"/>
                <w:lang w:eastAsia="es-CO"/>
              </w:rPr>
              <w:t xml:space="preserve"> </w:t>
            </w:r>
            <w:r w:rsidRPr="00E1005C">
              <w:rPr>
                <w:rFonts w:eastAsia="Times New Roman" w:cs="Arial"/>
                <w:b/>
                <w:bCs/>
                <w:color w:val="000000"/>
                <w:sz w:val="22"/>
                <w:lang w:eastAsia="es-CO"/>
              </w:rPr>
              <w:t>Identificación</w:t>
            </w:r>
            <w:r w:rsidR="00AC1B77" w:rsidRPr="00E1005C">
              <w:rPr>
                <w:rFonts w:eastAsia="Times New Roman" w:cs="Arial"/>
                <w:b/>
                <w:bCs/>
                <w:color w:val="000000"/>
                <w:sz w:val="22"/>
                <w:lang w:eastAsia="es-CO"/>
              </w:rPr>
              <w:t xml:space="preserve"> y análisis de riesgos, </w:t>
            </w:r>
            <w:r w:rsidR="00025B2A" w:rsidRPr="00E1005C">
              <w:rPr>
                <w:rFonts w:eastAsia="Times New Roman" w:cs="Arial"/>
                <w:b/>
                <w:bCs/>
                <w:color w:val="000000"/>
                <w:sz w:val="22"/>
                <w:lang w:eastAsia="es-CO"/>
              </w:rPr>
              <w:t>diseño de controles y</w:t>
            </w:r>
            <w:r w:rsidRPr="00E1005C">
              <w:rPr>
                <w:rFonts w:eastAsia="Times New Roman" w:cs="Arial"/>
                <w:b/>
                <w:bCs/>
                <w:color w:val="000000"/>
                <w:sz w:val="22"/>
                <w:lang w:eastAsia="es-CO"/>
              </w:rPr>
              <w:t xml:space="preserve"> </w:t>
            </w:r>
            <w:r w:rsidR="00025B2A" w:rsidRPr="00E1005C">
              <w:rPr>
                <w:rFonts w:eastAsia="Times New Roman" w:cs="Arial"/>
                <w:b/>
                <w:bCs/>
                <w:color w:val="000000"/>
                <w:sz w:val="22"/>
                <w:lang w:eastAsia="es-CO"/>
              </w:rPr>
              <w:t>v</w:t>
            </w:r>
            <w:r w:rsidRPr="00E1005C">
              <w:rPr>
                <w:rFonts w:eastAsia="Times New Roman" w:cs="Arial"/>
                <w:b/>
                <w:bCs/>
                <w:color w:val="000000"/>
                <w:sz w:val="22"/>
                <w:lang w:eastAsia="es-CO"/>
              </w:rPr>
              <w:t xml:space="preserve">aloración de </w:t>
            </w:r>
            <w:r w:rsidR="00025B2A" w:rsidRPr="00E1005C">
              <w:rPr>
                <w:rFonts w:eastAsia="Times New Roman" w:cs="Arial"/>
                <w:b/>
                <w:bCs/>
                <w:color w:val="000000"/>
                <w:sz w:val="22"/>
                <w:lang w:eastAsia="es-CO"/>
              </w:rPr>
              <w:t>r</w:t>
            </w:r>
            <w:r w:rsidRPr="00E1005C">
              <w:rPr>
                <w:rFonts w:eastAsia="Times New Roman" w:cs="Arial"/>
                <w:b/>
                <w:bCs/>
                <w:color w:val="000000"/>
                <w:sz w:val="22"/>
                <w:lang w:eastAsia="es-CO"/>
              </w:rPr>
              <w:t>iesgo</w:t>
            </w:r>
            <w:r w:rsidR="00025B2A" w:rsidRPr="00E1005C">
              <w:rPr>
                <w:rFonts w:eastAsia="Times New Roman" w:cs="Arial"/>
                <w:b/>
                <w:bCs/>
                <w:color w:val="000000"/>
                <w:sz w:val="22"/>
                <w:lang w:eastAsia="es-CO"/>
              </w:rPr>
              <w:t xml:space="preserve"> residual</w:t>
            </w:r>
          </w:p>
        </w:tc>
        <w:tc>
          <w:tcPr>
            <w:tcW w:w="3142" w:type="pct"/>
            <w:tcBorders>
              <w:top w:val="nil"/>
              <w:left w:val="nil"/>
              <w:bottom w:val="single" w:sz="4" w:space="0" w:color="auto"/>
              <w:right w:val="single" w:sz="4" w:space="0" w:color="auto"/>
            </w:tcBorders>
            <w:vAlign w:val="center"/>
            <w:hideMark/>
          </w:tcPr>
          <w:p w14:paraId="6559820A" w14:textId="633B2E58" w:rsidR="000C659C" w:rsidRPr="00E1005C" w:rsidRDefault="00983DA6" w:rsidP="000C659C">
            <w:pPr>
              <w:spacing w:before="0" w:after="0" w:line="240" w:lineRule="auto"/>
              <w:jc w:val="both"/>
              <w:rPr>
                <w:rFonts w:eastAsia="Times New Roman" w:cs="Arial"/>
                <w:color w:val="000000"/>
                <w:sz w:val="22"/>
                <w:lang w:eastAsia="es-CO"/>
              </w:rPr>
            </w:pPr>
            <w:r w:rsidRPr="00E1005C">
              <w:rPr>
                <w:rFonts w:eastAsia="Times New Roman" w:cs="Arial"/>
                <w:color w:val="000000"/>
                <w:sz w:val="22"/>
                <w:lang w:eastAsia="es-CO"/>
              </w:rPr>
              <w:t>Reconocer los riesgos que pueden afectar los objetivos institucionales. Identificar riesgos en cada proceso (gestión, integridad pública, LA/FT/FP, fiscales, seguridad de la información).</w:t>
            </w:r>
          </w:p>
          <w:p w14:paraId="0794F9BC" w14:textId="6E87AA42" w:rsidR="00983DA6" w:rsidRPr="00E1005C" w:rsidRDefault="00983DA6" w:rsidP="000C659C">
            <w:pPr>
              <w:spacing w:before="0" w:after="0" w:line="240" w:lineRule="auto"/>
              <w:jc w:val="both"/>
              <w:rPr>
                <w:rFonts w:eastAsia="Times New Roman" w:cs="Arial"/>
                <w:color w:val="000000"/>
                <w:sz w:val="22"/>
                <w:lang w:eastAsia="es-CO"/>
              </w:rPr>
            </w:pPr>
            <w:r w:rsidRPr="00E1005C">
              <w:rPr>
                <w:rFonts w:eastAsia="Times New Roman" w:cs="Arial"/>
                <w:color w:val="000000"/>
                <w:sz w:val="22"/>
                <w:lang w:eastAsia="es-CO"/>
              </w:rPr>
              <w:br/>
              <w:t>Determinar causas raíz, áreas de impacto y efectos económicos.</w:t>
            </w:r>
            <w:r w:rsidR="00EC5FBA" w:rsidRPr="00E1005C">
              <w:rPr>
                <w:rFonts w:eastAsia="Times New Roman" w:cs="Arial"/>
                <w:color w:val="000000"/>
                <w:sz w:val="22"/>
                <w:lang w:eastAsia="es-CO"/>
              </w:rPr>
              <w:t xml:space="preserve"> </w:t>
            </w:r>
            <w:r w:rsidRPr="00E1005C">
              <w:rPr>
                <w:rFonts w:eastAsia="Times New Roman" w:cs="Arial"/>
                <w:color w:val="000000"/>
                <w:sz w:val="22"/>
                <w:lang w:eastAsia="es-CO"/>
              </w:rPr>
              <w:t>Valorar riesgos según probabilidad e impacto</w:t>
            </w:r>
            <w:r w:rsidR="00FA356F" w:rsidRPr="00E1005C">
              <w:rPr>
                <w:rFonts w:eastAsia="Times New Roman" w:cs="Arial"/>
                <w:color w:val="000000"/>
                <w:sz w:val="22"/>
                <w:lang w:eastAsia="es-CO"/>
              </w:rPr>
              <w:t xml:space="preserve"> y establecer controles preventivos, </w:t>
            </w:r>
            <w:proofErr w:type="spellStart"/>
            <w:r w:rsidR="00FA356F" w:rsidRPr="00E1005C">
              <w:rPr>
                <w:rFonts w:eastAsia="Times New Roman" w:cs="Arial"/>
                <w:color w:val="000000"/>
                <w:sz w:val="22"/>
                <w:lang w:eastAsia="es-CO"/>
              </w:rPr>
              <w:t>detectivos</w:t>
            </w:r>
            <w:proofErr w:type="spellEnd"/>
            <w:r w:rsidR="00FA356F" w:rsidRPr="00E1005C">
              <w:rPr>
                <w:rFonts w:eastAsia="Times New Roman" w:cs="Arial"/>
                <w:color w:val="000000"/>
                <w:sz w:val="22"/>
                <w:lang w:eastAsia="es-CO"/>
              </w:rPr>
              <w:t xml:space="preserve"> y correctivos.</w:t>
            </w:r>
          </w:p>
        </w:tc>
      </w:tr>
      <w:tr w:rsidR="00983DA6" w:rsidRPr="00E1005C" w14:paraId="04613444" w14:textId="77777777" w:rsidTr="00E1005C">
        <w:trPr>
          <w:trHeight w:val="1125"/>
        </w:trPr>
        <w:tc>
          <w:tcPr>
            <w:tcW w:w="1858" w:type="pct"/>
            <w:tcBorders>
              <w:top w:val="nil"/>
              <w:left w:val="single" w:sz="4" w:space="0" w:color="auto"/>
              <w:bottom w:val="single" w:sz="4" w:space="0" w:color="auto"/>
              <w:right w:val="single" w:sz="4" w:space="0" w:color="auto"/>
            </w:tcBorders>
            <w:vAlign w:val="center"/>
            <w:hideMark/>
          </w:tcPr>
          <w:p w14:paraId="2082CC97" w14:textId="4DC579DB" w:rsidR="00FA356F" w:rsidRPr="00E1005C" w:rsidRDefault="00536BAF" w:rsidP="00FA356F">
            <w:pPr>
              <w:spacing w:before="0" w:after="0" w:line="240" w:lineRule="auto"/>
              <w:rPr>
                <w:rFonts w:eastAsia="Times New Roman" w:cs="Arial"/>
                <w:b/>
                <w:bCs/>
                <w:color w:val="000000"/>
                <w:sz w:val="22"/>
                <w:lang w:eastAsia="es-CO"/>
              </w:rPr>
            </w:pPr>
            <w:r w:rsidRPr="00E1005C">
              <w:rPr>
                <w:rFonts w:eastAsia="Times New Roman" w:cs="Arial"/>
                <w:b/>
                <w:bCs/>
                <w:color w:val="000000"/>
                <w:sz w:val="22"/>
                <w:lang w:eastAsia="es-CO"/>
              </w:rPr>
              <w:t>3</w:t>
            </w:r>
            <w:r w:rsidR="00983DA6" w:rsidRPr="00E1005C">
              <w:rPr>
                <w:rFonts w:eastAsia="Times New Roman" w:cs="Arial"/>
                <w:b/>
                <w:bCs/>
                <w:color w:val="000000"/>
                <w:sz w:val="22"/>
                <w:lang w:eastAsia="es-CO"/>
              </w:rPr>
              <w:t>. Monitoreo y Seguimiento</w:t>
            </w:r>
          </w:p>
        </w:tc>
        <w:tc>
          <w:tcPr>
            <w:tcW w:w="3142" w:type="pct"/>
            <w:tcBorders>
              <w:top w:val="nil"/>
              <w:left w:val="nil"/>
              <w:bottom w:val="single" w:sz="4" w:space="0" w:color="auto"/>
              <w:right w:val="single" w:sz="4" w:space="0" w:color="auto"/>
            </w:tcBorders>
            <w:vAlign w:val="center"/>
            <w:hideMark/>
          </w:tcPr>
          <w:p w14:paraId="54EF88D5" w14:textId="77777777" w:rsidR="00983DA6" w:rsidRPr="00E1005C" w:rsidRDefault="00983DA6" w:rsidP="00983DA6">
            <w:pPr>
              <w:spacing w:before="0" w:after="0" w:line="240" w:lineRule="auto"/>
              <w:rPr>
                <w:rFonts w:eastAsia="Times New Roman" w:cs="Arial"/>
                <w:color w:val="000000"/>
                <w:sz w:val="22"/>
                <w:lang w:eastAsia="es-CO"/>
              </w:rPr>
            </w:pPr>
            <w:r w:rsidRPr="00E1005C">
              <w:rPr>
                <w:rFonts w:eastAsia="Times New Roman" w:cs="Arial"/>
                <w:color w:val="000000"/>
                <w:sz w:val="22"/>
                <w:lang w:eastAsia="es-CO"/>
              </w:rPr>
              <w:t>Monitorear efectividad de controles y cumplimiento de planes de acción y reportar alertas y operaciones inusuales.</w:t>
            </w:r>
          </w:p>
        </w:tc>
      </w:tr>
      <w:tr w:rsidR="00983DA6" w:rsidRPr="00E1005C" w14:paraId="729450C0" w14:textId="77777777" w:rsidTr="00DF2904">
        <w:trPr>
          <w:trHeight w:val="1904"/>
        </w:trPr>
        <w:tc>
          <w:tcPr>
            <w:tcW w:w="1858" w:type="pct"/>
            <w:tcBorders>
              <w:top w:val="nil"/>
              <w:left w:val="single" w:sz="4" w:space="0" w:color="auto"/>
              <w:bottom w:val="single" w:sz="4" w:space="0" w:color="auto"/>
              <w:right w:val="single" w:sz="4" w:space="0" w:color="auto"/>
            </w:tcBorders>
            <w:vAlign w:val="center"/>
            <w:hideMark/>
          </w:tcPr>
          <w:p w14:paraId="201EC2DC" w14:textId="53C2E6C9" w:rsidR="00FA356F" w:rsidRPr="00E1005C" w:rsidRDefault="00536BAF" w:rsidP="00FA356F">
            <w:pPr>
              <w:spacing w:before="0" w:after="0" w:line="240" w:lineRule="auto"/>
              <w:rPr>
                <w:rFonts w:eastAsia="Times New Roman" w:cs="Arial"/>
                <w:b/>
                <w:bCs/>
                <w:color w:val="000000"/>
                <w:sz w:val="22"/>
                <w:lang w:eastAsia="es-CO"/>
              </w:rPr>
            </w:pPr>
            <w:r w:rsidRPr="00E1005C">
              <w:rPr>
                <w:rFonts w:eastAsia="Times New Roman" w:cs="Arial"/>
                <w:b/>
                <w:bCs/>
                <w:color w:val="000000"/>
                <w:sz w:val="22"/>
                <w:lang w:eastAsia="es-CO"/>
              </w:rPr>
              <w:t>4</w:t>
            </w:r>
            <w:r w:rsidR="00983DA6" w:rsidRPr="00E1005C">
              <w:rPr>
                <w:rFonts w:eastAsia="Times New Roman" w:cs="Arial"/>
                <w:b/>
                <w:bCs/>
                <w:color w:val="000000"/>
                <w:sz w:val="22"/>
                <w:lang w:eastAsia="es-CO"/>
              </w:rPr>
              <w:t>. Revisión y Mejora Continua</w:t>
            </w:r>
          </w:p>
        </w:tc>
        <w:tc>
          <w:tcPr>
            <w:tcW w:w="3142" w:type="pct"/>
            <w:tcBorders>
              <w:top w:val="nil"/>
              <w:left w:val="nil"/>
              <w:bottom w:val="single" w:sz="4" w:space="0" w:color="auto"/>
              <w:right w:val="single" w:sz="4" w:space="0" w:color="auto"/>
            </w:tcBorders>
            <w:vAlign w:val="center"/>
            <w:hideMark/>
          </w:tcPr>
          <w:p w14:paraId="57264790" w14:textId="2DF454DF" w:rsidR="00080748" w:rsidRPr="00E1005C" w:rsidRDefault="00080748" w:rsidP="00C9043B">
            <w:pPr>
              <w:spacing w:before="0" w:after="0" w:line="240" w:lineRule="auto"/>
              <w:jc w:val="both"/>
              <w:rPr>
                <w:rFonts w:eastAsia="Times New Roman" w:cs="Arial"/>
                <w:color w:val="000000"/>
                <w:sz w:val="22"/>
                <w:lang w:eastAsia="es-CO"/>
              </w:rPr>
            </w:pPr>
            <w:r w:rsidRPr="00E1005C">
              <w:rPr>
                <w:rFonts w:eastAsia="Times New Roman" w:cs="Arial"/>
                <w:color w:val="000000"/>
                <w:sz w:val="22"/>
                <w:lang w:eastAsia="es-CO"/>
              </w:rPr>
              <w:t xml:space="preserve">Evaluar de manera periódica los resultados de la Política y realizará los ajustes necesarios en respuesta a cambios normativos o del contexto institucional, incorporando las lecciones aprendidas y las recomendaciones emitidas por la auditoría interna. </w:t>
            </w:r>
          </w:p>
        </w:tc>
      </w:tr>
    </w:tbl>
    <w:p w14:paraId="01B5E5D0" w14:textId="77F93A9C" w:rsidR="001D1E54" w:rsidRDefault="001D1E54" w:rsidP="001D1E54">
      <w:pPr>
        <w:jc w:val="both"/>
        <w:rPr>
          <w:rFonts w:cs="Arial"/>
          <w:szCs w:val="24"/>
        </w:rPr>
      </w:pPr>
      <w:r w:rsidRPr="006768E4">
        <w:rPr>
          <w:rFonts w:cs="Arial"/>
          <w:szCs w:val="24"/>
        </w:rPr>
        <w:t>A través del Programa de Transparencia y Ética Pública – Administración de Riesgos, se establecen las acciones, los plazos de cumplimiento y los responsables correspondientes a cada una de las fases mencionadas, garantizando la adecuada incorporación de la gestión del riesgo en la dinámica institucional y en la cultura organizacional.</w:t>
      </w:r>
    </w:p>
    <w:p w14:paraId="3FBC19D9" w14:textId="77777777" w:rsidR="00FB2546" w:rsidRPr="006768E4" w:rsidRDefault="00FB2546" w:rsidP="001D1E54">
      <w:pPr>
        <w:jc w:val="both"/>
        <w:rPr>
          <w:rFonts w:cs="Arial"/>
          <w:szCs w:val="24"/>
        </w:rPr>
      </w:pPr>
    </w:p>
    <w:p w14:paraId="1C61AEDA" w14:textId="14C26C00" w:rsidR="004F77CE" w:rsidRDefault="00376D3C" w:rsidP="00B85B27">
      <w:pPr>
        <w:rPr>
          <w:rFonts w:cs="Arial"/>
          <w:b/>
          <w:bCs/>
          <w:i/>
          <w:iCs/>
          <w:szCs w:val="24"/>
        </w:rPr>
      </w:pPr>
      <w:r w:rsidRPr="00376D3C">
        <w:rPr>
          <w:rFonts w:cs="Arial"/>
          <w:i/>
          <w:iCs/>
          <w:szCs w:val="24"/>
        </w:rPr>
        <w:lastRenderedPageBreak/>
        <w:t xml:space="preserve"> </w:t>
      </w:r>
      <w:r w:rsidR="004F77CE" w:rsidRPr="00592197">
        <w:rPr>
          <w:rFonts w:cs="Arial"/>
          <w:b/>
          <w:bCs/>
          <w:i/>
          <w:iCs/>
          <w:szCs w:val="24"/>
        </w:rPr>
        <w:t>Anexos</w:t>
      </w:r>
    </w:p>
    <w:p w14:paraId="429B1469" w14:textId="463BC184" w:rsidR="00683ED1" w:rsidRPr="00683ED1" w:rsidRDefault="00683ED1" w:rsidP="00B85B27">
      <w:pPr>
        <w:rPr>
          <w:rFonts w:cs="Arial"/>
          <w:i/>
          <w:iCs/>
          <w:szCs w:val="24"/>
        </w:rPr>
      </w:pPr>
      <w:r w:rsidRPr="00683ED1">
        <w:rPr>
          <w:rFonts w:cs="Arial"/>
          <w:i/>
          <w:iCs/>
          <w:szCs w:val="24"/>
        </w:rPr>
        <w:t>E</w:t>
      </w:r>
      <w:r w:rsidR="0011594E">
        <w:rPr>
          <w:rFonts w:cs="Arial"/>
          <w:i/>
          <w:iCs/>
          <w:szCs w:val="24"/>
        </w:rPr>
        <w:t>l e</w:t>
      </w:r>
      <w:r w:rsidR="002623A4" w:rsidRPr="002623A4">
        <w:rPr>
          <w:rFonts w:cs="Arial"/>
          <w:i/>
          <w:iCs/>
          <w:szCs w:val="24"/>
        </w:rPr>
        <w:t>squema metodológico aplicable</w:t>
      </w:r>
      <w:r w:rsidR="0011594E">
        <w:rPr>
          <w:rFonts w:cs="Arial"/>
          <w:i/>
          <w:iCs/>
          <w:szCs w:val="24"/>
        </w:rPr>
        <w:t xml:space="preserve"> para la gestión integral de riesgos se encuentra descrito a través de los siguientes documentos anexos:</w:t>
      </w:r>
    </w:p>
    <w:p w14:paraId="782187CA" w14:textId="5461B8D9" w:rsidR="004F77CE" w:rsidRPr="00592197" w:rsidRDefault="0011594E" w:rsidP="00536BAF">
      <w:pPr>
        <w:pStyle w:val="Prrafodelista"/>
        <w:numPr>
          <w:ilvl w:val="0"/>
          <w:numId w:val="3"/>
        </w:numPr>
        <w:spacing w:before="0" w:after="0" w:line="360" w:lineRule="auto"/>
        <w:rPr>
          <w:rFonts w:cs="Arial"/>
          <w:i/>
          <w:iCs/>
          <w:szCs w:val="24"/>
        </w:rPr>
      </w:pPr>
      <w:r w:rsidRPr="00E1005C">
        <w:rPr>
          <w:rFonts w:cs="Arial"/>
          <w:b/>
          <w:bCs/>
          <w:i/>
          <w:iCs/>
          <w:szCs w:val="24"/>
        </w:rPr>
        <w:t>Anexo A</w:t>
      </w:r>
      <w:r>
        <w:rPr>
          <w:rFonts w:cs="Arial"/>
          <w:i/>
          <w:iCs/>
          <w:szCs w:val="24"/>
        </w:rPr>
        <w:t xml:space="preserve">. </w:t>
      </w:r>
      <w:r w:rsidR="004F77CE" w:rsidRPr="00592197">
        <w:rPr>
          <w:rFonts w:cs="Arial"/>
          <w:i/>
          <w:iCs/>
          <w:szCs w:val="24"/>
        </w:rPr>
        <w:t>Manual Gestión Integral del Riesgo</w:t>
      </w:r>
    </w:p>
    <w:p w14:paraId="4BAA9C38" w14:textId="5B529BAF" w:rsidR="004F77CE" w:rsidRPr="00592197" w:rsidRDefault="0011594E" w:rsidP="00536BAF">
      <w:pPr>
        <w:pStyle w:val="Prrafodelista"/>
        <w:numPr>
          <w:ilvl w:val="0"/>
          <w:numId w:val="3"/>
        </w:numPr>
        <w:spacing w:before="0" w:after="0" w:line="360" w:lineRule="auto"/>
        <w:rPr>
          <w:rFonts w:cs="Arial"/>
          <w:i/>
          <w:iCs/>
          <w:szCs w:val="24"/>
        </w:rPr>
      </w:pPr>
      <w:r w:rsidRPr="00E1005C">
        <w:rPr>
          <w:rFonts w:cs="Arial"/>
          <w:b/>
          <w:bCs/>
          <w:i/>
          <w:iCs/>
          <w:szCs w:val="24"/>
        </w:rPr>
        <w:t>Anexo B</w:t>
      </w:r>
      <w:r>
        <w:rPr>
          <w:rFonts w:cs="Arial"/>
          <w:i/>
          <w:iCs/>
          <w:szCs w:val="24"/>
        </w:rPr>
        <w:t xml:space="preserve">. </w:t>
      </w:r>
      <w:r w:rsidR="004F77CE" w:rsidRPr="00592197">
        <w:rPr>
          <w:rFonts w:cs="Arial"/>
          <w:i/>
          <w:iCs/>
          <w:szCs w:val="24"/>
        </w:rPr>
        <w:t>Procedimiento Gestión de Riesgo</w:t>
      </w:r>
      <w:r w:rsidR="007F6644" w:rsidRPr="00592197">
        <w:rPr>
          <w:rFonts w:cs="Arial"/>
          <w:i/>
          <w:iCs/>
          <w:szCs w:val="24"/>
        </w:rPr>
        <w:t>s</w:t>
      </w:r>
    </w:p>
    <w:p w14:paraId="04171F11" w14:textId="77777777" w:rsidR="004F77CE" w:rsidRPr="00592197" w:rsidRDefault="004F77CE" w:rsidP="00B85B27">
      <w:pPr>
        <w:rPr>
          <w:rFonts w:cs="Arial"/>
          <w:i/>
          <w:iCs/>
          <w:szCs w:val="24"/>
        </w:rPr>
      </w:pPr>
    </w:p>
    <w:tbl>
      <w:tblPr>
        <w:tblW w:w="9781" w:type="dxa"/>
        <w:tblInd w:w="-577" w:type="dxa"/>
        <w:tblCellMar>
          <w:left w:w="70" w:type="dxa"/>
          <w:right w:w="70" w:type="dxa"/>
        </w:tblCellMar>
        <w:tblLook w:val="04A0" w:firstRow="1" w:lastRow="0" w:firstColumn="1" w:lastColumn="0" w:noHBand="0" w:noVBand="1"/>
      </w:tblPr>
      <w:tblGrid>
        <w:gridCol w:w="1086"/>
        <w:gridCol w:w="2033"/>
        <w:gridCol w:w="1333"/>
        <w:gridCol w:w="2211"/>
        <w:gridCol w:w="1134"/>
        <w:gridCol w:w="1984"/>
      </w:tblGrid>
      <w:tr w:rsidR="007B0C75" w:rsidRPr="00592197" w14:paraId="0FBC1EE5" w14:textId="77777777" w:rsidTr="00BB3F7D">
        <w:trPr>
          <w:trHeight w:val="300"/>
        </w:trPr>
        <w:tc>
          <w:tcPr>
            <w:tcW w:w="9781" w:type="dxa"/>
            <w:gridSpan w:val="6"/>
            <w:tcBorders>
              <w:top w:val="single" w:sz="8" w:space="0" w:color="auto"/>
              <w:left w:val="single" w:sz="8" w:space="0" w:color="auto"/>
              <w:bottom w:val="single" w:sz="8" w:space="0" w:color="auto"/>
              <w:right w:val="single" w:sz="8" w:space="0" w:color="000000"/>
            </w:tcBorders>
            <w:shd w:val="clear" w:color="000000" w:fill="51CFC3"/>
            <w:vAlign w:val="center"/>
            <w:hideMark/>
          </w:tcPr>
          <w:p w14:paraId="3605989A" w14:textId="77777777" w:rsidR="00B85B27" w:rsidRPr="00592197" w:rsidRDefault="00B85B27" w:rsidP="00B85B27">
            <w:pPr>
              <w:spacing w:before="0" w:after="0" w:line="240" w:lineRule="auto"/>
              <w:jc w:val="center"/>
              <w:rPr>
                <w:rFonts w:eastAsia="Times New Roman" w:cs="Arial"/>
                <w:b/>
                <w:bCs/>
                <w:i/>
                <w:iCs/>
                <w:szCs w:val="24"/>
                <w:lang w:eastAsia="es-CO"/>
              </w:rPr>
            </w:pPr>
            <w:r w:rsidRPr="00592197">
              <w:rPr>
                <w:rFonts w:eastAsia="Times New Roman" w:cs="Arial"/>
                <w:b/>
                <w:bCs/>
                <w:i/>
                <w:iCs/>
                <w:szCs w:val="24"/>
                <w:lang w:eastAsia="es-CO"/>
              </w:rPr>
              <w:t>Registro de aprobación</w:t>
            </w:r>
          </w:p>
        </w:tc>
      </w:tr>
      <w:tr w:rsidR="007124AD" w:rsidRPr="00592197" w14:paraId="3FF5A0D9" w14:textId="77777777" w:rsidTr="007124AD">
        <w:trPr>
          <w:trHeight w:val="300"/>
        </w:trPr>
        <w:tc>
          <w:tcPr>
            <w:tcW w:w="3119" w:type="dxa"/>
            <w:gridSpan w:val="2"/>
            <w:tcBorders>
              <w:top w:val="single" w:sz="8" w:space="0" w:color="auto"/>
              <w:left w:val="single" w:sz="8" w:space="0" w:color="auto"/>
              <w:bottom w:val="single" w:sz="8" w:space="0" w:color="auto"/>
              <w:right w:val="single" w:sz="8" w:space="0" w:color="000000"/>
            </w:tcBorders>
            <w:shd w:val="clear" w:color="000000" w:fill="51CFC3"/>
            <w:vAlign w:val="center"/>
            <w:hideMark/>
          </w:tcPr>
          <w:p w14:paraId="3EF9ED97" w14:textId="77777777" w:rsidR="00B85B27" w:rsidRPr="00592197" w:rsidRDefault="00B85B27" w:rsidP="00B85B27">
            <w:pPr>
              <w:spacing w:before="0" w:after="0" w:line="240" w:lineRule="auto"/>
              <w:rPr>
                <w:rFonts w:eastAsia="Times New Roman" w:cs="Arial"/>
                <w:b/>
                <w:bCs/>
                <w:i/>
                <w:iCs/>
                <w:szCs w:val="24"/>
                <w:lang w:eastAsia="es-CO"/>
              </w:rPr>
            </w:pPr>
            <w:r w:rsidRPr="00592197">
              <w:rPr>
                <w:rFonts w:eastAsia="Times New Roman" w:cs="Arial"/>
                <w:b/>
                <w:bCs/>
                <w:i/>
                <w:iCs/>
                <w:szCs w:val="24"/>
                <w:lang w:eastAsia="es-CO"/>
              </w:rPr>
              <w:t>Elaboró</w:t>
            </w:r>
          </w:p>
        </w:tc>
        <w:tc>
          <w:tcPr>
            <w:tcW w:w="3544" w:type="dxa"/>
            <w:gridSpan w:val="2"/>
            <w:tcBorders>
              <w:top w:val="single" w:sz="8" w:space="0" w:color="auto"/>
              <w:left w:val="nil"/>
              <w:bottom w:val="single" w:sz="8" w:space="0" w:color="auto"/>
              <w:right w:val="single" w:sz="8" w:space="0" w:color="000000"/>
            </w:tcBorders>
            <w:shd w:val="clear" w:color="000000" w:fill="51CFC3"/>
            <w:vAlign w:val="center"/>
            <w:hideMark/>
          </w:tcPr>
          <w:p w14:paraId="151C8EC1" w14:textId="77777777" w:rsidR="00B85B27" w:rsidRPr="00592197" w:rsidRDefault="00B85B27" w:rsidP="00B85B27">
            <w:pPr>
              <w:spacing w:before="0" w:after="0" w:line="240" w:lineRule="auto"/>
              <w:rPr>
                <w:rFonts w:eastAsia="Times New Roman" w:cs="Arial"/>
                <w:b/>
                <w:bCs/>
                <w:i/>
                <w:iCs/>
                <w:szCs w:val="24"/>
                <w:lang w:eastAsia="es-CO"/>
              </w:rPr>
            </w:pPr>
            <w:r w:rsidRPr="00592197">
              <w:rPr>
                <w:rFonts w:eastAsia="Times New Roman" w:cs="Arial"/>
                <w:b/>
                <w:bCs/>
                <w:i/>
                <w:iCs/>
                <w:szCs w:val="24"/>
                <w:lang w:eastAsia="es-CO"/>
              </w:rPr>
              <w:t>Revisó</w:t>
            </w:r>
          </w:p>
        </w:tc>
        <w:tc>
          <w:tcPr>
            <w:tcW w:w="3118" w:type="dxa"/>
            <w:gridSpan w:val="2"/>
            <w:tcBorders>
              <w:top w:val="single" w:sz="8" w:space="0" w:color="auto"/>
              <w:left w:val="nil"/>
              <w:bottom w:val="single" w:sz="8" w:space="0" w:color="auto"/>
              <w:right w:val="single" w:sz="8" w:space="0" w:color="000000"/>
            </w:tcBorders>
            <w:shd w:val="clear" w:color="000000" w:fill="51CFC3"/>
            <w:vAlign w:val="center"/>
            <w:hideMark/>
          </w:tcPr>
          <w:p w14:paraId="039D2DE0" w14:textId="77777777" w:rsidR="00B85B27" w:rsidRPr="00592197" w:rsidRDefault="00B85B27" w:rsidP="00B85B27">
            <w:pPr>
              <w:spacing w:before="0" w:after="0" w:line="240" w:lineRule="auto"/>
              <w:rPr>
                <w:rFonts w:eastAsia="Times New Roman" w:cs="Arial"/>
                <w:b/>
                <w:bCs/>
                <w:i/>
                <w:iCs/>
                <w:szCs w:val="24"/>
                <w:lang w:eastAsia="es-CO"/>
              </w:rPr>
            </w:pPr>
            <w:r w:rsidRPr="00592197">
              <w:rPr>
                <w:rFonts w:eastAsia="Times New Roman" w:cs="Arial"/>
                <w:b/>
                <w:bCs/>
                <w:i/>
                <w:iCs/>
                <w:szCs w:val="24"/>
                <w:lang w:eastAsia="es-CO"/>
              </w:rPr>
              <w:t>Aprobó</w:t>
            </w:r>
          </w:p>
        </w:tc>
      </w:tr>
      <w:tr w:rsidR="002B181D" w:rsidRPr="00592197" w14:paraId="763F6B36" w14:textId="77777777" w:rsidTr="000969D3">
        <w:trPr>
          <w:trHeight w:val="300"/>
        </w:trPr>
        <w:tc>
          <w:tcPr>
            <w:tcW w:w="1086" w:type="dxa"/>
            <w:tcBorders>
              <w:top w:val="nil"/>
              <w:left w:val="single" w:sz="8" w:space="0" w:color="auto"/>
              <w:bottom w:val="single" w:sz="8" w:space="0" w:color="auto"/>
              <w:right w:val="single" w:sz="8" w:space="0" w:color="auto"/>
            </w:tcBorders>
            <w:vAlign w:val="center"/>
            <w:hideMark/>
          </w:tcPr>
          <w:p w14:paraId="4D2880B2" w14:textId="77777777" w:rsidR="002B181D" w:rsidRPr="006454BA" w:rsidRDefault="002B181D" w:rsidP="00164A16">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Nombre</w:t>
            </w:r>
          </w:p>
        </w:tc>
        <w:tc>
          <w:tcPr>
            <w:tcW w:w="2033" w:type="dxa"/>
            <w:vMerge w:val="restart"/>
            <w:tcBorders>
              <w:top w:val="nil"/>
              <w:left w:val="nil"/>
              <w:right w:val="single" w:sz="8" w:space="0" w:color="auto"/>
            </w:tcBorders>
            <w:vAlign w:val="center"/>
          </w:tcPr>
          <w:p w14:paraId="25DDFAAB" w14:textId="07862E21" w:rsidR="002B181D" w:rsidRPr="008257DC" w:rsidRDefault="008257DC" w:rsidP="00164A16">
            <w:pPr>
              <w:spacing w:before="0" w:after="0" w:line="240" w:lineRule="auto"/>
              <w:rPr>
                <w:rFonts w:eastAsia="Times New Roman" w:cs="Arial"/>
                <w:sz w:val="22"/>
                <w:lang w:eastAsia="es-CO"/>
              </w:rPr>
            </w:pPr>
            <w:r w:rsidRPr="008257DC">
              <w:rPr>
                <w:rFonts w:eastAsia="Times New Roman" w:cs="Arial"/>
                <w:sz w:val="22"/>
                <w:lang w:eastAsia="es-CO"/>
              </w:rPr>
              <w:t>Información disponible en el SharePoint de la OAP a través del formato DEFT15</w:t>
            </w:r>
            <w:r w:rsidRPr="008257DC">
              <w:rPr>
                <w:sz w:val="20"/>
                <w:szCs w:val="20"/>
                <w:lang w:val="es-MX"/>
              </w:rPr>
              <w:t> </w:t>
            </w:r>
          </w:p>
        </w:tc>
        <w:tc>
          <w:tcPr>
            <w:tcW w:w="1333" w:type="dxa"/>
            <w:tcBorders>
              <w:top w:val="nil"/>
              <w:left w:val="nil"/>
              <w:bottom w:val="single" w:sz="8" w:space="0" w:color="auto"/>
              <w:right w:val="single" w:sz="8" w:space="0" w:color="auto"/>
            </w:tcBorders>
            <w:vAlign w:val="center"/>
            <w:hideMark/>
          </w:tcPr>
          <w:p w14:paraId="73B4A514" w14:textId="08DB49D9" w:rsidR="002B181D" w:rsidRPr="006454BA" w:rsidRDefault="002B181D" w:rsidP="00164A16">
            <w:pPr>
              <w:spacing w:before="0" w:after="0" w:line="240" w:lineRule="auto"/>
              <w:rPr>
                <w:rFonts w:eastAsia="Times New Roman" w:cs="Arial"/>
                <w:i/>
                <w:iCs/>
                <w:sz w:val="22"/>
                <w:lang w:eastAsia="es-CO"/>
              </w:rPr>
            </w:pPr>
            <w:r w:rsidRPr="006454BA">
              <w:rPr>
                <w:rFonts w:eastAsia="Times New Roman" w:cs="Arial"/>
                <w:b/>
                <w:bCs/>
                <w:i/>
                <w:iCs/>
                <w:sz w:val="22"/>
                <w:lang w:eastAsia="es-CO"/>
              </w:rPr>
              <w:t xml:space="preserve">Nombre </w:t>
            </w:r>
          </w:p>
          <w:p w14:paraId="1EA33D9F" w14:textId="77777777" w:rsidR="002B181D" w:rsidRPr="006454BA" w:rsidRDefault="002B181D" w:rsidP="00164A16">
            <w:pPr>
              <w:spacing w:before="0" w:after="0" w:line="240" w:lineRule="auto"/>
              <w:rPr>
                <w:rFonts w:eastAsia="Times New Roman" w:cs="Arial"/>
                <w:i/>
                <w:iCs/>
                <w:sz w:val="22"/>
                <w:lang w:eastAsia="es-CO"/>
              </w:rPr>
            </w:pPr>
          </w:p>
          <w:p w14:paraId="4FE628F8" w14:textId="67C9047C" w:rsidR="002B181D" w:rsidRPr="006454BA" w:rsidRDefault="002B181D" w:rsidP="00164A16">
            <w:pPr>
              <w:spacing w:before="0" w:after="0" w:line="240" w:lineRule="auto"/>
              <w:rPr>
                <w:rFonts w:eastAsia="Times New Roman" w:cs="Arial"/>
                <w:b/>
                <w:bCs/>
                <w:i/>
                <w:iCs/>
                <w:sz w:val="22"/>
                <w:lang w:eastAsia="es-CO"/>
              </w:rPr>
            </w:pPr>
          </w:p>
        </w:tc>
        <w:tc>
          <w:tcPr>
            <w:tcW w:w="2211" w:type="dxa"/>
            <w:vMerge w:val="restart"/>
            <w:tcBorders>
              <w:top w:val="nil"/>
              <w:left w:val="nil"/>
              <w:right w:val="single" w:sz="8" w:space="0" w:color="auto"/>
            </w:tcBorders>
            <w:vAlign w:val="center"/>
          </w:tcPr>
          <w:p w14:paraId="4BBE8A6F" w14:textId="7D949D04" w:rsidR="002B181D" w:rsidRPr="006454BA" w:rsidRDefault="008257DC" w:rsidP="00164A16">
            <w:pPr>
              <w:spacing w:before="0" w:after="0" w:line="240" w:lineRule="auto"/>
              <w:rPr>
                <w:rFonts w:eastAsia="Times New Roman" w:cs="Arial"/>
                <w:i/>
                <w:iCs/>
                <w:sz w:val="22"/>
                <w:lang w:eastAsia="es-CO"/>
              </w:rPr>
            </w:pPr>
            <w:r w:rsidRPr="008257DC">
              <w:rPr>
                <w:rFonts w:eastAsia="Times New Roman" w:cs="Arial"/>
                <w:sz w:val="22"/>
                <w:lang w:eastAsia="es-CO"/>
              </w:rPr>
              <w:t>Información disponible en el SharePoint de la OAP a través del formato DEFT15</w:t>
            </w:r>
            <w:r w:rsidRPr="008257DC">
              <w:rPr>
                <w:sz w:val="20"/>
                <w:szCs w:val="20"/>
                <w:lang w:val="es-MX"/>
              </w:rPr>
              <w:t> </w:t>
            </w:r>
          </w:p>
        </w:tc>
        <w:tc>
          <w:tcPr>
            <w:tcW w:w="1134" w:type="dxa"/>
            <w:tcBorders>
              <w:top w:val="nil"/>
              <w:left w:val="nil"/>
              <w:bottom w:val="single" w:sz="8" w:space="0" w:color="auto"/>
              <w:right w:val="single" w:sz="8" w:space="0" w:color="auto"/>
            </w:tcBorders>
            <w:vAlign w:val="center"/>
            <w:hideMark/>
          </w:tcPr>
          <w:p w14:paraId="67D1A415" w14:textId="77777777" w:rsidR="002B181D" w:rsidRPr="006454BA" w:rsidRDefault="002B181D" w:rsidP="00164A16">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Nombre</w:t>
            </w:r>
          </w:p>
        </w:tc>
        <w:tc>
          <w:tcPr>
            <w:tcW w:w="1984" w:type="dxa"/>
            <w:vMerge w:val="restart"/>
            <w:tcBorders>
              <w:top w:val="nil"/>
              <w:left w:val="nil"/>
              <w:right w:val="single" w:sz="8" w:space="0" w:color="auto"/>
            </w:tcBorders>
            <w:vAlign w:val="center"/>
          </w:tcPr>
          <w:p w14:paraId="709098B6" w14:textId="676DA3E6" w:rsidR="002B181D" w:rsidRPr="006454BA" w:rsidRDefault="008257DC" w:rsidP="00B85B27">
            <w:pPr>
              <w:spacing w:before="0" w:after="0" w:line="240" w:lineRule="auto"/>
              <w:rPr>
                <w:rFonts w:eastAsia="Times New Roman" w:cs="Arial"/>
                <w:i/>
                <w:iCs/>
                <w:sz w:val="22"/>
                <w:lang w:eastAsia="es-CO"/>
              </w:rPr>
            </w:pPr>
            <w:r w:rsidRPr="008257DC">
              <w:rPr>
                <w:rFonts w:eastAsia="Times New Roman" w:cs="Arial"/>
                <w:sz w:val="22"/>
                <w:lang w:eastAsia="es-CO"/>
              </w:rPr>
              <w:t>Información disponible en el SharePoint de la OAP a través del formato DEFT15</w:t>
            </w:r>
            <w:r w:rsidRPr="008257DC">
              <w:rPr>
                <w:sz w:val="20"/>
                <w:szCs w:val="20"/>
                <w:lang w:val="es-MX"/>
              </w:rPr>
              <w:t> </w:t>
            </w:r>
          </w:p>
        </w:tc>
      </w:tr>
      <w:tr w:rsidR="002B181D" w:rsidRPr="00592197" w14:paraId="571786F2" w14:textId="77777777" w:rsidTr="008257DC">
        <w:trPr>
          <w:trHeight w:val="370"/>
        </w:trPr>
        <w:tc>
          <w:tcPr>
            <w:tcW w:w="1086" w:type="dxa"/>
            <w:tcBorders>
              <w:top w:val="nil"/>
              <w:left w:val="single" w:sz="8" w:space="0" w:color="auto"/>
              <w:bottom w:val="single" w:sz="8" w:space="0" w:color="auto"/>
              <w:right w:val="single" w:sz="8" w:space="0" w:color="auto"/>
            </w:tcBorders>
            <w:vAlign w:val="center"/>
            <w:hideMark/>
          </w:tcPr>
          <w:p w14:paraId="7A00E270" w14:textId="77777777" w:rsidR="002B181D" w:rsidRPr="006454BA" w:rsidRDefault="002B181D" w:rsidP="00B85B27">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Cargo</w:t>
            </w:r>
          </w:p>
        </w:tc>
        <w:tc>
          <w:tcPr>
            <w:tcW w:w="2033" w:type="dxa"/>
            <w:vMerge/>
            <w:tcBorders>
              <w:left w:val="nil"/>
              <w:right w:val="single" w:sz="8" w:space="0" w:color="auto"/>
            </w:tcBorders>
            <w:vAlign w:val="center"/>
          </w:tcPr>
          <w:p w14:paraId="0EFBCB37" w14:textId="6E372167" w:rsidR="002B181D" w:rsidRPr="006454BA" w:rsidRDefault="002B181D" w:rsidP="00B85B27">
            <w:pPr>
              <w:spacing w:before="0" w:after="0" w:line="240" w:lineRule="auto"/>
              <w:rPr>
                <w:rFonts w:eastAsia="Times New Roman" w:cs="Arial"/>
                <w:i/>
                <w:iCs/>
                <w:sz w:val="22"/>
                <w:lang w:eastAsia="es-CO"/>
              </w:rPr>
            </w:pPr>
          </w:p>
        </w:tc>
        <w:tc>
          <w:tcPr>
            <w:tcW w:w="1333" w:type="dxa"/>
            <w:tcBorders>
              <w:top w:val="nil"/>
              <w:left w:val="nil"/>
              <w:bottom w:val="single" w:sz="8" w:space="0" w:color="auto"/>
              <w:right w:val="single" w:sz="8" w:space="0" w:color="auto"/>
            </w:tcBorders>
            <w:vAlign w:val="center"/>
            <w:hideMark/>
          </w:tcPr>
          <w:p w14:paraId="3E0A5EFE" w14:textId="0165CBAF" w:rsidR="002B181D" w:rsidRPr="006454BA" w:rsidRDefault="002B181D" w:rsidP="00B85B27">
            <w:pPr>
              <w:spacing w:before="0" w:after="0" w:line="240" w:lineRule="auto"/>
              <w:rPr>
                <w:rFonts w:eastAsia="Times New Roman" w:cs="Arial"/>
                <w:i/>
                <w:iCs/>
                <w:sz w:val="22"/>
                <w:lang w:eastAsia="es-CO"/>
              </w:rPr>
            </w:pPr>
            <w:r w:rsidRPr="006454BA">
              <w:rPr>
                <w:rFonts w:eastAsia="Times New Roman" w:cs="Arial"/>
                <w:b/>
                <w:bCs/>
                <w:i/>
                <w:iCs/>
                <w:sz w:val="22"/>
                <w:lang w:eastAsia="es-CO"/>
              </w:rPr>
              <w:t>Cargo</w:t>
            </w:r>
          </w:p>
          <w:p w14:paraId="08691625" w14:textId="77777777" w:rsidR="002B181D" w:rsidRPr="006454BA" w:rsidRDefault="002B181D" w:rsidP="00B85B27">
            <w:pPr>
              <w:spacing w:before="0" w:after="0" w:line="240" w:lineRule="auto"/>
              <w:rPr>
                <w:rFonts w:eastAsia="Times New Roman" w:cs="Arial"/>
                <w:i/>
                <w:iCs/>
                <w:sz w:val="22"/>
                <w:lang w:eastAsia="es-CO"/>
              </w:rPr>
            </w:pPr>
          </w:p>
          <w:p w14:paraId="6CAFBF71" w14:textId="5CAFC2E5" w:rsidR="002B181D" w:rsidRPr="006454BA" w:rsidRDefault="002B181D" w:rsidP="00B85B27">
            <w:pPr>
              <w:spacing w:before="0" w:after="0" w:line="240" w:lineRule="auto"/>
              <w:rPr>
                <w:rFonts w:eastAsia="Times New Roman" w:cs="Arial"/>
                <w:b/>
                <w:bCs/>
                <w:i/>
                <w:iCs/>
                <w:sz w:val="22"/>
                <w:lang w:eastAsia="es-CO"/>
              </w:rPr>
            </w:pPr>
          </w:p>
        </w:tc>
        <w:tc>
          <w:tcPr>
            <w:tcW w:w="2211" w:type="dxa"/>
            <w:vMerge/>
            <w:tcBorders>
              <w:left w:val="nil"/>
              <w:right w:val="single" w:sz="8" w:space="0" w:color="auto"/>
            </w:tcBorders>
            <w:vAlign w:val="center"/>
          </w:tcPr>
          <w:p w14:paraId="2D503050" w14:textId="43F48F2A" w:rsidR="002B181D" w:rsidRPr="006454BA" w:rsidRDefault="002B181D" w:rsidP="00B85B27">
            <w:pPr>
              <w:spacing w:before="0" w:after="0" w:line="240" w:lineRule="auto"/>
              <w:rPr>
                <w:rFonts w:eastAsia="Times New Roman" w:cs="Arial"/>
                <w:i/>
                <w:iCs/>
                <w:sz w:val="22"/>
                <w:lang w:eastAsia="es-CO"/>
              </w:rPr>
            </w:pPr>
          </w:p>
        </w:tc>
        <w:tc>
          <w:tcPr>
            <w:tcW w:w="1134" w:type="dxa"/>
            <w:tcBorders>
              <w:top w:val="nil"/>
              <w:left w:val="nil"/>
              <w:bottom w:val="single" w:sz="8" w:space="0" w:color="auto"/>
              <w:right w:val="single" w:sz="8" w:space="0" w:color="auto"/>
            </w:tcBorders>
            <w:vAlign w:val="center"/>
            <w:hideMark/>
          </w:tcPr>
          <w:p w14:paraId="785A3404" w14:textId="77777777" w:rsidR="002B181D" w:rsidRPr="006454BA" w:rsidRDefault="002B181D" w:rsidP="00B85B27">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Cargo</w:t>
            </w:r>
          </w:p>
        </w:tc>
        <w:tc>
          <w:tcPr>
            <w:tcW w:w="1984" w:type="dxa"/>
            <w:vMerge/>
            <w:tcBorders>
              <w:left w:val="nil"/>
              <w:right w:val="single" w:sz="8" w:space="0" w:color="auto"/>
            </w:tcBorders>
            <w:vAlign w:val="center"/>
          </w:tcPr>
          <w:p w14:paraId="378A7E2E" w14:textId="19682056" w:rsidR="002B181D" w:rsidRPr="006454BA" w:rsidRDefault="002B181D" w:rsidP="00B85B27">
            <w:pPr>
              <w:spacing w:before="0" w:after="0" w:line="240" w:lineRule="auto"/>
              <w:rPr>
                <w:rFonts w:eastAsia="Times New Roman" w:cs="Arial"/>
                <w:i/>
                <w:iCs/>
                <w:sz w:val="22"/>
                <w:lang w:eastAsia="es-CO"/>
              </w:rPr>
            </w:pPr>
          </w:p>
        </w:tc>
      </w:tr>
      <w:tr w:rsidR="002B181D" w:rsidRPr="00592197" w14:paraId="3CAC29F2" w14:textId="77777777" w:rsidTr="000969D3">
        <w:trPr>
          <w:trHeight w:val="613"/>
        </w:trPr>
        <w:tc>
          <w:tcPr>
            <w:tcW w:w="1086" w:type="dxa"/>
            <w:tcBorders>
              <w:top w:val="nil"/>
              <w:left w:val="single" w:sz="8" w:space="0" w:color="auto"/>
              <w:bottom w:val="single" w:sz="8" w:space="0" w:color="auto"/>
              <w:right w:val="single" w:sz="8" w:space="0" w:color="auto"/>
            </w:tcBorders>
            <w:vAlign w:val="center"/>
            <w:hideMark/>
          </w:tcPr>
          <w:p w14:paraId="3CA0E2C2" w14:textId="77777777" w:rsidR="002B181D" w:rsidRPr="006454BA" w:rsidRDefault="002B181D" w:rsidP="00B85B27">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Fecha</w:t>
            </w:r>
          </w:p>
        </w:tc>
        <w:tc>
          <w:tcPr>
            <w:tcW w:w="2033" w:type="dxa"/>
            <w:vMerge/>
            <w:tcBorders>
              <w:left w:val="nil"/>
              <w:bottom w:val="single" w:sz="8" w:space="0" w:color="auto"/>
              <w:right w:val="single" w:sz="8" w:space="0" w:color="auto"/>
            </w:tcBorders>
            <w:vAlign w:val="center"/>
          </w:tcPr>
          <w:p w14:paraId="0327F516" w14:textId="2DA59A20" w:rsidR="002B181D" w:rsidRPr="006454BA" w:rsidRDefault="002B181D" w:rsidP="00B85B27">
            <w:pPr>
              <w:spacing w:before="0" w:after="0" w:line="240" w:lineRule="auto"/>
              <w:rPr>
                <w:rFonts w:eastAsia="Times New Roman" w:cs="Arial"/>
                <w:i/>
                <w:iCs/>
                <w:sz w:val="22"/>
                <w:lang w:eastAsia="es-CO"/>
              </w:rPr>
            </w:pPr>
          </w:p>
        </w:tc>
        <w:tc>
          <w:tcPr>
            <w:tcW w:w="1333" w:type="dxa"/>
            <w:tcBorders>
              <w:top w:val="nil"/>
              <w:left w:val="nil"/>
              <w:bottom w:val="single" w:sz="8" w:space="0" w:color="auto"/>
              <w:right w:val="single" w:sz="8" w:space="0" w:color="auto"/>
            </w:tcBorders>
            <w:vAlign w:val="center"/>
            <w:hideMark/>
          </w:tcPr>
          <w:p w14:paraId="2EF200D8" w14:textId="75AD6F10" w:rsidR="002B181D" w:rsidRPr="006454BA" w:rsidRDefault="002B181D" w:rsidP="00B85B27">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Fecha</w:t>
            </w:r>
          </w:p>
        </w:tc>
        <w:tc>
          <w:tcPr>
            <w:tcW w:w="2211" w:type="dxa"/>
            <w:vMerge/>
            <w:tcBorders>
              <w:left w:val="nil"/>
              <w:bottom w:val="single" w:sz="8" w:space="0" w:color="auto"/>
              <w:right w:val="single" w:sz="8" w:space="0" w:color="auto"/>
            </w:tcBorders>
            <w:vAlign w:val="center"/>
          </w:tcPr>
          <w:p w14:paraId="15172CA0" w14:textId="0BB3F1C6" w:rsidR="002B181D" w:rsidRPr="006454BA" w:rsidRDefault="002B181D" w:rsidP="00B85B27">
            <w:pPr>
              <w:spacing w:before="0" w:after="0" w:line="240" w:lineRule="auto"/>
              <w:rPr>
                <w:rFonts w:eastAsia="Times New Roman" w:cs="Arial"/>
                <w:i/>
                <w:iCs/>
                <w:sz w:val="22"/>
                <w:lang w:eastAsia="es-CO"/>
              </w:rPr>
            </w:pPr>
          </w:p>
        </w:tc>
        <w:tc>
          <w:tcPr>
            <w:tcW w:w="1134" w:type="dxa"/>
            <w:tcBorders>
              <w:top w:val="nil"/>
              <w:left w:val="nil"/>
              <w:bottom w:val="single" w:sz="8" w:space="0" w:color="auto"/>
              <w:right w:val="single" w:sz="8" w:space="0" w:color="auto"/>
            </w:tcBorders>
            <w:vAlign w:val="center"/>
            <w:hideMark/>
          </w:tcPr>
          <w:p w14:paraId="3517AB8D" w14:textId="77777777" w:rsidR="002B181D" w:rsidRPr="006454BA" w:rsidRDefault="002B181D" w:rsidP="00B85B27">
            <w:pPr>
              <w:spacing w:before="0" w:after="0" w:line="240" w:lineRule="auto"/>
              <w:rPr>
                <w:rFonts w:eastAsia="Times New Roman" w:cs="Arial"/>
                <w:b/>
                <w:bCs/>
                <w:i/>
                <w:iCs/>
                <w:sz w:val="22"/>
                <w:lang w:eastAsia="es-CO"/>
              </w:rPr>
            </w:pPr>
            <w:r w:rsidRPr="006454BA">
              <w:rPr>
                <w:rFonts w:eastAsia="Times New Roman" w:cs="Arial"/>
                <w:b/>
                <w:bCs/>
                <w:i/>
                <w:iCs/>
                <w:sz w:val="22"/>
                <w:lang w:eastAsia="es-CO"/>
              </w:rPr>
              <w:t>Fecha</w:t>
            </w:r>
          </w:p>
        </w:tc>
        <w:tc>
          <w:tcPr>
            <w:tcW w:w="1984" w:type="dxa"/>
            <w:vMerge/>
            <w:tcBorders>
              <w:left w:val="nil"/>
              <w:bottom w:val="single" w:sz="8" w:space="0" w:color="auto"/>
              <w:right w:val="single" w:sz="8" w:space="0" w:color="auto"/>
            </w:tcBorders>
            <w:vAlign w:val="center"/>
          </w:tcPr>
          <w:p w14:paraId="681D0741" w14:textId="42BA0BFE" w:rsidR="002B181D" w:rsidRPr="006454BA" w:rsidRDefault="002B181D" w:rsidP="00B85B27">
            <w:pPr>
              <w:spacing w:before="0" w:after="0" w:line="240" w:lineRule="auto"/>
              <w:rPr>
                <w:rFonts w:eastAsia="Times New Roman" w:cs="Arial"/>
                <w:i/>
                <w:iCs/>
                <w:sz w:val="22"/>
                <w:lang w:eastAsia="es-CO"/>
              </w:rPr>
            </w:pPr>
          </w:p>
        </w:tc>
      </w:tr>
      <w:bookmarkEnd w:id="0"/>
      <w:bookmarkEnd w:id="1"/>
      <w:bookmarkEnd w:id="5"/>
    </w:tbl>
    <w:p w14:paraId="0A8E5CF6" w14:textId="77777777" w:rsidR="00634F59" w:rsidRPr="00592197" w:rsidRDefault="00634F59" w:rsidP="00BB3F7D">
      <w:pPr>
        <w:rPr>
          <w:rFonts w:cs="Arial"/>
          <w:i/>
          <w:iCs/>
          <w:szCs w:val="24"/>
        </w:rPr>
      </w:pPr>
    </w:p>
    <w:sectPr w:rsidR="00634F59" w:rsidRPr="00592197" w:rsidSect="00592197">
      <w:headerReference w:type="default" r:id="rId13"/>
      <w:footerReference w:type="default" r:id="rId14"/>
      <w:pgSz w:w="12240" w:h="15840"/>
      <w:pgMar w:top="1417" w:right="1701" w:bottom="1417"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99CF" w14:textId="77777777" w:rsidR="00EA6719" w:rsidRDefault="00EA6719" w:rsidP="00CD6908">
      <w:pPr>
        <w:spacing w:after="0" w:line="240" w:lineRule="auto"/>
      </w:pPr>
      <w:r>
        <w:separator/>
      </w:r>
    </w:p>
  </w:endnote>
  <w:endnote w:type="continuationSeparator" w:id="0">
    <w:p w14:paraId="75D2E20C" w14:textId="77777777" w:rsidR="00EA6719" w:rsidRDefault="00EA6719"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2A6CDC" w:rsidRDefault="002A6CDC">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2A6CDC" w:rsidRDefault="002A6C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2FAB" w14:textId="77777777" w:rsidR="00EA6719" w:rsidRDefault="00EA6719" w:rsidP="00CD6908">
      <w:pPr>
        <w:spacing w:after="0" w:line="240" w:lineRule="auto"/>
      </w:pPr>
      <w:r>
        <w:separator/>
      </w:r>
    </w:p>
  </w:footnote>
  <w:footnote w:type="continuationSeparator" w:id="0">
    <w:p w14:paraId="368A584A" w14:textId="77777777" w:rsidR="00EA6719" w:rsidRDefault="00EA6719"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2A6CDC" w:rsidRDefault="002A6CDC" w:rsidP="00352983">
    <w:pPr>
      <w:pStyle w:val="Encabezado"/>
      <w:ind w:left="-993"/>
    </w:pPr>
  </w:p>
  <w:tbl>
    <w:tblPr>
      <w:tblStyle w:val="Tablaconcuadrcula"/>
      <w:tblW w:w="9789" w:type="dxa"/>
      <w:tblInd w:w="-506" w:type="dxa"/>
      <w:tblLook w:val="04A0" w:firstRow="1" w:lastRow="0" w:firstColumn="1" w:lastColumn="0" w:noHBand="0" w:noVBand="1"/>
    </w:tblPr>
    <w:tblGrid>
      <w:gridCol w:w="2133"/>
      <w:gridCol w:w="4808"/>
      <w:gridCol w:w="1297"/>
      <w:gridCol w:w="1551"/>
    </w:tblGrid>
    <w:tr w:rsidR="00CA2C4C" w:rsidRPr="003622FD" w14:paraId="7EE14D48" w14:textId="77777777" w:rsidTr="00FB2546">
      <w:trPr>
        <w:trHeight w:val="701"/>
      </w:trPr>
      <w:tc>
        <w:tcPr>
          <w:tcW w:w="2133" w:type="dxa"/>
          <w:vMerge w:val="restart"/>
          <w:tcBorders>
            <w:top w:val="single" w:sz="4" w:space="0" w:color="auto"/>
            <w:left w:val="single" w:sz="4" w:space="0" w:color="auto"/>
            <w:right w:val="single" w:sz="4" w:space="0" w:color="auto"/>
          </w:tcBorders>
        </w:tcPr>
        <w:p w14:paraId="1D5F935C" w14:textId="2AD25CD5" w:rsidR="00CA2C4C" w:rsidRPr="003622FD" w:rsidRDefault="00CA2C4C" w:rsidP="00CA2C4C">
          <w:pPr>
            <w:pStyle w:val="Encabezado"/>
            <w:spacing w:before="0"/>
            <w:rPr>
              <w:rFonts w:cs="Arial"/>
              <w:b/>
              <w:bCs/>
              <w:sz w:val="22"/>
            </w:rPr>
          </w:pPr>
          <w:bookmarkStart w:id="6" w:name="_Hlk132632420"/>
          <w:r w:rsidRPr="002E6EDE">
            <w:rPr>
              <w:rFonts w:cs="Arial"/>
              <w:b/>
              <w:bCs/>
              <w:noProof/>
              <w:sz w:val="22"/>
            </w:rPr>
            <w:drawing>
              <wp:anchor distT="0" distB="0" distL="114300" distR="114300" simplePos="0" relativeHeight="251658240" behindDoc="0" locked="0" layoutInCell="1" allowOverlap="1" wp14:anchorId="634014F8" wp14:editId="0EE62D72">
                <wp:simplePos x="0" y="0"/>
                <wp:positionH relativeFrom="column">
                  <wp:posOffset>-46990</wp:posOffset>
                </wp:positionH>
                <wp:positionV relativeFrom="paragraph">
                  <wp:posOffset>201295</wp:posOffset>
                </wp:positionV>
                <wp:extent cx="1294846" cy="771525"/>
                <wp:effectExtent l="0" t="0" r="635"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294846" cy="771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08" w:type="dxa"/>
          <w:tcBorders>
            <w:top w:val="single" w:sz="4" w:space="0" w:color="auto"/>
            <w:left w:val="single" w:sz="4" w:space="0" w:color="auto"/>
            <w:right w:val="single" w:sz="4" w:space="0" w:color="auto"/>
          </w:tcBorders>
          <w:vAlign w:val="center"/>
        </w:tcPr>
        <w:p w14:paraId="76A4E924" w14:textId="1B87167B" w:rsidR="00CA2C4C" w:rsidRPr="00366A01" w:rsidRDefault="00CA2C4C" w:rsidP="00CA2C4C">
          <w:pPr>
            <w:pStyle w:val="Encabezado"/>
            <w:spacing w:before="0"/>
            <w:jc w:val="center"/>
            <w:rPr>
              <w:rFonts w:cs="Arial"/>
              <w:b/>
              <w:bCs/>
              <w:szCs w:val="24"/>
            </w:rPr>
          </w:pPr>
          <w:r>
            <w:rPr>
              <w:rFonts w:cs="Arial"/>
              <w:b/>
              <w:bCs/>
              <w:szCs w:val="24"/>
            </w:rPr>
            <w:t>DIRECCIONAMIENTO ESTRATÉGICO</w:t>
          </w:r>
        </w:p>
      </w:tc>
      <w:tc>
        <w:tcPr>
          <w:tcW w:w="1297" w:type="dxa"/>
          <w:tcBorders>
            <w:left w:val="single" w:sz="4" w:space="0" w:color="auto"/>
          </w:tcBorders>
          <w:vAlign w:val="center"/>
        </w:tcPr>
        <w:p w14:paraId="2F90F72D" w14:textId="71AEB6DA" w:rsidR="00CA2C4C" w:rsidRPr="00366A01" w:rsidRDefault="00CA2C4C" w:rsidP="00CA2C4C">
          <w:pPr>
            <w:pStyle w:val="Encabezado"/>
            <w:spacing w:before="0"/>
            <w:rPr>
              <w:rFonts w:cs="Arial"/>
              <w:b/>
              <w:bCs/>
              <w:szCs w:val="24"/>
            </w:rPr>
          </w:pPr>
          <w:r w:rsidRPr="00366A01">
            <w:rPr>
              <w:rFonts w:cs="Arial"/>
              <w:b/>
              <w:bCs/>
              <w:szCs w:val="24"/>
            </w:rPr>
            <w:t>CÓDIGO</w:t>
          </w:r>
        </w:p>
      </w:tc>
      <w:tc>
        <w:tcPr>
          <w:tcW w:w="1551" w:type="dxa"/>
          <w:vAlign w:val="center"/>
        </w:tcPr>
        <w:p w14:paraId="67673ECE" w14:textId="3E8A1A18" w:rsidR="00CA2C4C" w:rsidRPr="00366A01" w:rsidRDefault="0051344D" w:rsidP="00CA2C4C">
          <w:pPr>
            <w:pStyle w:val="Encabezado"/>
            <w:spacing w:before="0"/>
            <w:rPr>
              <w:rFonts w:cs="Arial"/>
              <w:bCs/>
              <w:szCs w:val="24"/>
            </w:rPr>
          </w:pPr>
          <w:r w:rsidRPr="0051344D">
            <w:rPr>
              <w:rFonts w:cs="Arial"/>
              <w:bCs/>
              <w:szCs w:val="24"/>
            </w:rPr>
            <w:t>E1-PI-1</w:t>
          </w:r>
        </w:p>
      </w:tc>
    </w:tr>
    <w:tr w:rsidR="00A758C0" w:rsidRPr="003622FD" w14:paraId="6DB14E1F" w14:textId="77777777" w:rsidTr="00FB2546">
      <w:trPr>
        <w:trHeight w:val="554"/>
      </w:trPr>
      <w:tc>
        <w:tcPr>
          <w:tcW w:w="2133" w:type="dxa"/>
          <w:vMerge/>
          <w:tcBorders>
            <w:left w:val="single" w:sz="4" w:space="0" w:color="auto"/>
            <w:right w:val="single" w:sz="4" w:space="0" w:color="auto"/>
          </w:tcBorders>
        </w:tcPr>
        <w:p w14:paraId="245ECB4E" w14:textId="1E9BD5E7" w:rsidR="00A758C0" w:rsidRPr="003622FD" w:rsidRDefault="00A758C0" w:rsidP="00A50216">
          <w:pPr>
            <w:pStyle w:val="Encabezado"/>
            <w:spacing w:before="0"/>
            <w:rPr>
              <w:rFonts w:cs="Arial"/>
              <w:b/>
              <w:bCs/>
              <w:sz w:val="22"/>
            </w:rPr>
          </w:pPr>
        </w:p>
      </w:tc>
      <w:tc>
        <w:tcPr>
          <w:tcW w:w="4808" w:type="dxa"/>
          <w:vMerge w:val="restart"/>
          <w:tcBorders>
            <w:left w:val="single" w:sz="4" w:space="0" w:color="auto"/>
            <w:right w:val="single" w:sz="4" w:space="0" w:color="auto"/>
          </w:tcBorders>
          <w:vAlign w:val="center"/>
        </w:tcPr>
        <w:p w14:paraId="028BADC3" w14:textId="77777777" w:rsidR="00A758C0" w:rsidRDefault="00A50216" w:rsidP="00A50216">
          <w:pPr>
            <w:pStyle w:val="Encabezado"/>
            <w:spacing w:before="0"/>
            <w:jc w:val="center"/>
            <w:rPr>
              <w:rFonts w:cs="Arial"/>
              <w:b/>
              <w:bCs/>
              <w:szCs w:val="24"/>
            </w:rPr>
          </w:pPr>
          <w:r>
            <w:rPr>
              <w:rFonts w:cs="Arial"/>
              <w:b/>
              <w:bCs/>
              <w:szCs w:val="24"/>
            </w:rPr>
            <w:t>POLÍTICA</w:t>
          </w:r>
        </w:p>
        <w:p w14:paraId="63AA2475" w14:textId="05F545F3" w:rsidR="00A50216" w:rsidRPr="00366A01" w:rsidRDefault="00A50216" w:rsidP="00A50216">
          <w:pPr>
            <w:pStyle w:val="Encabezado"/>
            <w:spacing w:before="0"/>
            <w:jc w:val="center"/>
            <w:rPr>
              <w:rFonts w:cs="Arial"/>
              <w:b/>
              <w:bCs/>
              <w:szCs w:val="24"/>
            </w:rPr>
          </w:pPr>
          <w:r>
            <w:rPr>
              <w:rFonts w:cs="Arial"/>
              <w:b/>
              <w:bCs/>
              <w:szCs w:val="24"/>
            </w:rPr>
            <w:t>GESTIÓN INTEGRAL DEL RIESGO</w:t>
          </w:r>
        </w:p>
      </w:tc>
      <w:tc>
        <w:tcPr>
          <w:tcW w:w="1297" w:type="dxa"/>
          <w:tcBorders>
            <w:left w:val="single" w:sz="4" w:space="0" w:color="auto"/>
          </w:tcBorders>
          <w:vAlign w:val="center"/>
        </w:tcPr>
        <w:p w14:paraId="11459464" w14:textId="4B3B58D1" w:rsidR="00A758C0" w:rsidRPr="00366A01" w:rsidRDefault="00A758C0" w:rsidP="00A50216">
          <w:pPr>
            <w:pStyle w:val="Encabezado"/>
            <w:spacing w:before="0"/>
            <w:rPr>
              <w:rFonts w:cs="Arial"/>
              <w:b/>
              <w:bCs/>
              <w:szCs w:val="24"/>
            </w:rPr>
          </w:pPr>
          <w:r w:rsidRPr="00366A01">
            <w:rPr>
              <w:rFonts w:cs="Arial"/>
              <w:b/>
              <w:bCs/>
              <w:szCs w:val="24"/>
            </w:rPr>
            <w:t>VERSIÓN</w:t>
          </w:r>
        </w:p>
      </w:tc>
      <w:tc>
        <w:tcPr>
          <w:tcW w:w="1551" w:type="dxa"/>
          <w:vAlign w:val="center"/>
        </w:tcPr>
        <w:p w14:paraId="355A8BC8" w14:textId="582F46CC" w:rsidR="00A758C0" w:rsidRPr="00366A01" w:rsidRDefault="0051344D" w:rsidP="00A50216">
          <w:pPr>
            <w:pStyle w:val="Encabezado"/>
            <w:spacing w:before="0"/>
            <w:rPr>
              <w:rFonts w:cs="Arial"/>
              <w:bCs/>
              <w:szCs w:val="24"/>
            </w:rPr>
          </w:pPr>
          <w:r>
            <w:rPr>
              <w:rFonts w:cs="Arial"/>
              <w:bCs/>
              <w:szCs w:val="24"/>
            </w:rPr>
            <w:t>1</w:t>
          </w:r>
        </w:p>
      </w:tc>
    </w:tr>
    <w:tr w:rsidR="00A758C0" w:rsidRPr="003622FD" w14:paraId="0F0238FF" w14:textId="77777777" w:rsidTr="00FB2546">
      <w:trPr>
        <w:trHeight w:val="562"/>
      </w:trPr>
      <w:tc>
        <w:tcPr>
          <w:tcW w:w="2133" w:type="dxa"/>
          <w:vMerge/>
          <w:tcBorders>
            <w:left w:val="single" w:sz="4" w:space="0" w:color="auto"/>
            <w:bottom w:val="single" w:sz="4" w:space="0" w:color="auto"/>
            <w:right w:val="single" w:sz="4" w:space="0" w:color="auto"/>
          </w:tcBorders>
        </w:tcPr>
        <w:p w14:paraId="460EECA1" w14:textId="77777777" w:rsidR="00A758C0" w:rsidRPr="003622FD" w:rsidRDefault="00A758C0" w:rsidP="00A50216">
          <w:pPr>
            <w:pStyle w:val="Encabezado"/>
            <w:spacing w:before="0"/>
            <w:rPr>
              <w:rFonts w:cs="Arial"/>
              <w:b/>
              <w:bCs/>
              <w:sz w:val="22"/>
            </w:rPr>
          </w:pPr>
        </w:p>
      </w:tc>
      <w:tc>
        <w:tcPr>
          <w:tcW w:w="4808" w:type="dxa"/>
          <w:vMerge/>
          <w:tcBorders>
            <w:left w:val="single" w:sz="4" w:space="0" w:color="auto"/>
            <w:bottom w:val="single" w:sz="4" w:space="0" w:color="auto"/>
            <w:right w:val="single" w:sz="4" w:space="0" w:color="auto"/>
          </w:tcBorders>
          <w:vAlign w:val="center"/>
        </w:tcPr>
        <w:p w14:paraId="4598AF95" w14:textId="77777777" w:rsidR="00A758C0" w:rsidRPr="00366A01" w:rsidRDefault="00A758C0" w:rsidP="00A50216">
          <w:pPr>
            <w:pStyle w:val="Encabezado"/>
            <w:spacing w:before="0"/>
            <w:rPr>
              <w:rFonts w:cs="Arial"/>
              <w:b/>
              <w:bCs/>
              <w:szCs w:val="24"/>
            </w:rPr>
          </w:pPr>
        </w:p>
      </w:tc>
      <w:tc>
        <w:tcPr>
          <w:tcW w:w="1297" w:type="dxa"/>
          <w:tcBorders>
            <w:left w:val="single" w:sz="4" w:space="0" w:color="auto"/>
          </w:tcBorders>
          <w:vAlign w:val="center"/>
        </w:tcPr>
        <w:p w14:paraId="0D94D1D5" w14:textId="14472F6F" w:rsidR="00A758C0" w:rsidRPr="00366A01" w:rsidRDefault="00A758C0" w:rsidP="00A50216">
          <w:pPr>
            <w:pStyle w:val="Encabezado"/>
            <w:spacing w:before="0"/>
            <w:rPr>
              <w:rFonts w:cs="Arial"/>
              <w:b/>
              <w:bCs/>
              <w:szCs w:val="24"/>
            </w:rPr>
          </w:pPr>
          <w:r w:rsidRPr="00366A01">
            <w:rPr>
              <w:rFonts w:cs="Arial"/>
              <w:b/>
              <w:bCs/>
              <w:szCs w:val="24"/>
            </w:rPr>
            <w:t>FECHA</w:t>
          </w:r>
        </w:p>
      </w:tc>
      <w:tc>
        <w:tcPr>
          <w:tcW w:w="1551" w:type="dxa"/>
          <w:vAlign w:val="center"/>
        </w:tcPr>
        <w:p w14:paraId="21427EAB" w14:textId="761EFAA1" w:rsidR="00A758C0" w:rsidRPr="00460FDF" w:rsidRDefault="0051344D" w:rsidP="00A50216">
          <w:pPr>
            <w:pStyle w:val="Encabezado"/>
            <w:spacing w:before="0"/>
            <w:rPr>
              <w:rFonts w:cs="Arial"/>
              <w:bCs/>
              <w:szCs w:val="24"/>
            </w:rPr>
          </w:pPr>
          <w:r>
            <w:rPr>
              <w:rFonts w:cs="Arial"/>
              <w:bCs/>
              <w:szCs w:val="24"/>
            </w:rPr>
            <w:t>31</w:t>
          </w:r>
          <w:r w:rsidR="00B33D6A">
            <w:rPr>
              <w:rFonts w:cs="Arial"/>
              <w:bCs/>
              <w:szCs w:val="24"/>
            </w:rPr>
            <w:t>/03/2026</w:t>
          </w:r>
        </w:p>
      </w:tc>
    </w:tr>
    <w:bookmarkEnd w:id="6"/>
  </w:tbl>
  <w:p w14:paraId="12A9F66E" w14:textId="77777777" w:rsidR="002A6CDC" w:rsidRDefault="002A6CDC" w:rsidP="00352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89"/>
    <w:multiLevelType w:val="multilevel"/>
    <w:tmpl w:val="F36040EE"/>
    <w:lvl w:ilvl="0">
      <w:start w:val="3"/>
      <w:numFmt w:val="decimal"/>
      <w:lvlText w:val="%1"/>
      <w:lvlJc w:val="left"/>
      <w:pPr>
        <w:ind w:left="3248" w:hanging="555"/>
      </w:pPr>
      <w:rPr>
        <w:rFonts w:hint="default"/>
      </w:rPr>
    </w:lvl>
    <w:lvl w:ilvl="1">
      <w:start w:val="2"/>
      <w:numFmt w:val="decimal"/>
      <w:lvlText w:val="%1.%2"/>
      <w:lvlJc w:val="left"/>
      <w:pPr>
        <w:ind w:left="3413" w:hanging="720"/>
      </w:pPr>
      <w:rPr>
        <w:rFonts w:hint="default"/>
      </w:rPr>
    </w:lvl>
    <w:lvl w:ilvl="2">
      <w:start w:val="1"/>
      <w:numFmt w:val="decimal"/>
      <w:pStyle w:val="Ttulo3"/>
      <w:lvlText w:val="%1.%2.%3"/>
      <w:lvlJc w:val="left"/>
      <w:pPr>
        <w:ind w:left="3413" w:hanging="720"/>
      </w:pPr>
      <w:rPr>
        <w:rFonts w:hint="default"/>
      </w:rPr>
    </w:lvl>
    <w:lvl w:ilvl="3">
      <w:start w:val="1"/>
      <w:numFmt w:val="decimal"/>
      <w:lvlText w:val="%1.%2.%3.%4"/>
      <w:lvlJc w:val="left"/>
      <w:pPr>
        <w:ind w:left="3773" w:hanging="108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4133" w:hanging="1440"/>
      </w:pPr>
      <w:rPr>
        <w:rFonts w:hint="default"/>
      </w:rPr>
    </w:lvl>
    <w:lvl w:ilvl="6">
      <w:start w:val="1"/>
      <w:numFmt w:val="decimal"/>
      <w:lvlText w:val="%1.%2.%3.%4.%5.%6.%7"/>
      <w:lvlJc w:val="left"/>
      <w:pPr>
        <w:ind w:left="4493" w:hanging="1800"/>
      </w:pPr>
      <w:rPr>
        <w:rFonts w:hint="default"/>
      </w:rPr>
    </w:lvl>
    <w:lvl w:ilvl="7">
      <w:start w:val="1"/>
      <w:numFmt w:val="decimal"/>
      <w:lvlText w:val="%1.%2.%3.%4.%5.%6.%7.%8"/>
      <w:lvlJc w:val="left"/>
      <w:pPr>
        <w:ind w:left="4493" w:hanging="1800"/>
      </w:pPr>
      <w:rPr>
        <w:rFonts w:hint="default"/>
      </w:rPr>
    </w:lvl>
    <w:lvl w:ilvl="8">
      <w:start w:val="1"/>
      <w:numFmt w:val="decimal"/>
      <w:lvlText w:val="%1.%2.%3.%4.%5.%6.%7.%8.%9"/>
      <w:lvlJc w:val="left"/>
      <w:pPr>
        <w:ind w:left="4853" w:hanging="2160"/>
      </w:pPr>
      <w:rPr>
        <w:rFonts w:hint="default"/>
      </w:rPr>
    </w:lvl>
  </w:abstractNum>
  <w:abstractNum w:abstractNumId="1" w15:restartNumberingAfterBreak="0">
    <w:nsid w:val="3CFC58A7"/>
    <w:multiLevelType w:val="hybridMultilevel"/>
    <w:tmpl w:val="9E8CF5EC"/>
    <w:lvl w:ilvl="0" w:tplc="FD64AE28">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8404EB"/>
    <w:multiLevelType w:val="hybridMultilevel"/>
    <w:tmpl w:val="B0BEE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FA4577D"/>
    <w:multiLevelType w:val="hybridMultilevel"/>
    <w:tmpl w:val="296A15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09235965">
    <w:abstractNumId w:val="2"/>
  </w:num>
  <w:num w:numId="2" w16cid:durableId="2061393042">
    <w:abstractNumId w:val="0"/>
  </w:num>
  <w:num w:numId="3" w16cid:durableId="1495561819">
    <w:abstractNumId w:val="3"/>
  </w:num>
  <w:num w:numId="4" w16cid:durableId="866337628">
    <w:abstractNumId w:val="4"/>
  </w:num>
  <w:num w:numId="5" w16cid:durableId="67268923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1B8"/>
    <w:rsid w:val="00001029"/>
    <w:rsid w:val="00001940"/>
    <w:rsid w:val="00002710"/>
    <w:rsid w:val="00006310"/>
    <w:rsid w:val="00011116"/>
    <w:rsid w:val="00011184"/>
    <w:rsid w:val="00011533"/>
    <w:rsid w:val="00011ECB"/>
    <w:rsid w:val="00011F89"/>
    <w:rsid w:val="0001262B"/>
    <w:rsid w:val="000136A7"/>
    <w:rsid w:val="00013A55"/>
    <w:rsid w:val="000149D2"/>
    <w:rsid w:val="00016351"/>
    <w:rsid w:val="00016C9F"/>
    <w:rsid w:val="0002010A"/>
    <w:rsid w:val="00021B72"/>
    <w:rsid w:val="00023103"/>
    <w:rsid w:val="00023C95"/>
    <w:rsid w:val="00023D30"/>
    <w:rsid w:val="000248F7"/>
    <w:rsid w:val="00024C89"/>
    <w:rsid w:val="000258AD"/>
    <w:rsid w:val="00025B2A"/>
    <w:rsid w:val="00026B44"/>
    <w:rsid w:val="00027B8F"/>
    <w:rsid w:val="000300BE"/>
    <w:rsid w:val="000332A7"/>
    <w:rsid w:val="000334AB"/>
    <w:rsid w:val="000347AC"/>
    <w:rsid w:val="00035EEE"/>
    <w:rsid w:val="00036678"/>
    <w:rsid w:val="000374E3"/>
    <w:rsid w:val="00037C0B"/>
    <w:rsid w:val="0004022D"/>
    <w:rsid w:val="00041C93"/>
    <w:rsid w:val="00042487"/>
    <w:rsid w:val="000424D0"/>
    <w:rsid w:val="00043935"/>
    <w:rsid w:val="0004415D"/>
    <w:rsid w:val="0004434A"/>
    <w:rsid w:val="00046BA2"/>
    <w:rsid w:val="00046ECF"/>
    <w:rsid w:val="000479CC"/>
    <w:rsid w:val="00047EE1"/>
    <w:rsid w:val="00051018"/>
    <w:rsid w:val="0005164E"/>
    <w:rsid w:val="00053231"/>
    <w:rsid w:val="0005452F"/>
    <w:rsid w:val="00056362"/>
    <w:rsid w:val="00060F08"/>
    <w:rsid w:val="00065A8C"/>
    <w:rsid w:val="00066BD9"/>
    <w:rsid w:val="00067A9A"/>
    <w:rsid w:val="00072D73"/>
    <w:rsid w:val="000762A7"/>
    <w:rsid w:val="00080748"/>
    <w:rsid w:val="00081E1A"/>
    <w:rsid w:val="000827BA"/>
    <w:rsid w:val="00082A90"/>
    <w:rsid w:val="0008443F"/>
    <w:rsid w:val="00084D3C"/>
    <w:rsid w:val="00092700"/>
    <w:rsid w:val="000933D8"/>
    <w:rsid w:val="00096ADF"/>
    <w:rsid w:val="00097048"/>
    <w:rsid w:val="00097118"/>
    <w:rsid w:val="000A07FE"/>
    <w:rsid w:val="000A0ED1"/>
    <w:rsid w:val="000A23B7"/>
    <w:rsid w:val="000A286C"/>
    <w:rsid w:val="000A5116"/>
    <w:rsid w:val="000A52DA"/>
    <w:rsid w:val="000B2079"/>
    <w:rsid w:val="000B2F28"/>
    <w:rsid w:val="000B3AC7"/>
    <w:rsid w:val="000B4D06"/>
    <w:rsid w:val="000B6D36"/>
    <w:rsid w:val="000B7A1E"/>
    <w:rsid w:val="000C2969"/>
    <w:rsid w:val="000C31C6"/>
    <w:rsid w:val="000C4FA9"/>
    <w:rsid w:val="000C54CF"/>
    <w:rsid w:val="000C5BDC"/>
    <w:rsid w:val="000C659C"/>
    <w:rsid w:val="000C7C5A"/>
    <w:rsid w:val="000D20D5"/>
    <w:rsid w:val="000D39D1"/>
    <w:rsid w:val="000D7845"/>
    <w:rsid w:val="000E0FA8"/>
    <w:rsid w:val="000E172C"/>
    <w:rsid w:val="000E209E"/>
    <w:rsid w:val="000E5973"/>
    <w:rsid w:val="000E62E1"/>
    <w:rsid w:val="000E6DE6"/>
    <w:rsid w:val="000E7FF1"/>
    <w:rsid w:val="000F0206"/>
    <w:rsid w:val="000F176B"/>
    <w:rsid w:val="000F2347"/>
    <w:rsid w:val="000F2522"/>
    <w:rsid w:val="000F304D"/>
    <w:rsid w:val="000F360A"/>
    <w:rsid w:val="000F3B63"/>
    <w:rsid w:val="000F46F7"/>
    <w:rsid w:val="000F47F9"/>
    <w:rsid w:val="000F5DC1"/>
    <w:rsid w:val="00100999"/>
    <w:rsid w:val="00100ADD"/>
    <w:rsid w:val="001012E0"/>
    <w:rsid w:val="0010147E"/>
    <w:rsid w:val="00102A98"/>
    <w:rsid w:val="0010437B"/>
    <w:rsid w:val="001048B6"/>
    <w:rsid w:val="00105FAB"/>
    <w:rsid w:val="00106D5C"/>
    <w:rsid w:val="00107DCE"/>
    <w:rsid w:val="00111AD5"/>
    <w:rsid w:val="00112917"/>
    <w:rsid w:val="00113846"/>
    <w:rsid w:val="00114F33"/>
    <w:rsid w:val="00115089"/>
    <w:rsid w:val="0011594E"/>
    <w:rsid w:val="0011690D"/>
    <w:rsid w:val="00117E3B"/>
    <w:rsid w:val="00121AC3"/>
    <w:rsid w:val="00121C52"/>
    <w:rsid w:val="001229A1"/>
    <w:rsid w:val="001234A2"/>
    <w:rsid w:val="00125581"/>
    <w:rsid w:val="00127D25"/>
    <w:rsid w:val="00130ABD"/>
    <w:rsid w:val="00131280"/>
    <w:rsid w:val="00131A2C"/>
    <w:rsid w:val="00132E17"/>
    <w:rsid w:val="0013414D"/>
    <w:rsid w:val="00135B4F"/>
    <w:rsid w:val="00137A09"/>
    <w:rsid w:val="00137F76"/>
    <w:rsid w:val="00140D2E"/>
    <w:rsid w:val="00140D72"/>
    <w:rsid w:val="0014345B"/>
    <w:rsid w:val="001440A1"/>
    <w:rsid w:val="001455CD"/>
    <w:rsid w:val="001460F1"/>
    <w:rsid w:val="001477F5"/>
    <w:rsid w:val="00150026"/>
    <w:rsid w:val="001504DC"/>
    <w:rsid w:val="00150AD5"/>
    <w:rsid w:val="00151CE7"/>
    <w:rsid w:val="001547DE"/>
    <w:rsid w:val="001556C9"/>
    <w:rsid w:val="00156460"/>
    <w:rsid w:val="00156C5D"/>
    <w:rsid w:val="001601A3"/>
    <w:rsid w:val="00161418"/>
    <w:rsid w:val="001626A5"/>
    <w:rsid w:val="001631CF"/>
    <w:rsid w:val="00163D1A"/>
    <w:rsid w:val="0016495F"/>
    <w:rsid w:val="00164A16"/>
    <w:rsid w:val="00167F6E"/>
    <w:rsid w:val="0017222E"/>
    <w:rsid w:val="00173435"/>
    <w:rsid w:val="00176332"/>
    <w:rsid w:val="001769C0"/>
    <w:rsid w:val="00176AAD"/>
    <w:rsid w:val="00177ED0"/>
    <w:rsid w:val="00182335"/>
    <w:rsid w:val="001834CE"/>
    <w:rsid w:val="001835F3"/>
    <w:rsid w:val="00185E36"/>
    <w:rsid w:val="0018773B"/>
    <w:rsid w:val="00190031"/>
    <w:rsid w:val="00190B3C"/>
    <w:rsid w:val="00191415"/>
    <w:rsid w:val="0019368C"/>
    <w:rsid w:val="001942E8"/>
    <w:rsid w:val="001951AD"/>
    <w:rsid w:val="00195CDA"/>
    <w:rsid w:val="00195D0A"/>
    <w:rsid w:val="0019699D"/>
    <w:rsid w:val="001A0942"/>
    <w:rsid w:val="001A35C4"/>
    <w:rsid w:val="001A35EC"/>
    <w:rsid w:val="001A39F1"/>
    <w:rsid w:val="001A6C48"/>
    <w:rsid w:val="001A6D4F"/>
    <w:rsid w:val="001A74C6"/>
    <w:rsid w:val="001A78CD"/>
    <w:rsid w:val="001B0CF9"/>
    <w:rsid w:val="001B3A21"/>
    <w:rsid w:val="001B4D1B"/>
    <w:rsid w:val="001B5E54"/>
    <w:rsid w:val="001B6187"/>
    <w:rsid w:val="001B6733"/>
    <w:rsid w:val="001B6E98"/>
    <w:rsid w:val="001C1C6D"/>
    <w:rsid w:val="001C5B7E"/>
    <w:rsid w:val="001C5D4C"/>
    <w:rsid w:val="001C5F82"/>
    <w:rsid w:val="001C67E9"/>
    <w:rsid w:val="001C6990"/>
    <w:rsid w:val="001C6AD0"/>
    <w:rsid w:val="001C7C5F"/>
    <w:rsid w:val="001C7F67"/>
    <w:rsid w:val="001D030D"/>
    <w:rsid w:val="001D1E54"/>
    <w:rsid w:val="001D2DC4"/>
    <w:rsid w:val="001D32AE"/>
    <w:rsid w:val="001D33DD"/>
    <w:rsid w:val="001D3B0E"/>
    <w:rsid w:val="001D587C"/>
    <w:rsid w:val="001D626E"/>
    <w:rsid w:val="001E00E0"/>
    <w:rsid w:val="001E16C2"/>
    <w:rsid w:val="001E1D35"/>
    <w:rsid w:val="001E1E6D"/>
    <w:rsid w:val="001E5AFE"/>
    <w:rsid w:val="001E5C8A"/>
    <w:rsid w:val="001E5E1B"/>
    <w:rsid w:val="001E6A54"/>
    <w:rsid w:val="001E6AC7"/>
    <w:rsid w:val="001F106A"/>
    <w:rsid w:val="001F2085"/>
    <w:rsid w:val="001F3836"/>
    <w:rsid w:val="001F4B9E"/>
    <w:rsid w:val="001F5864"/>
    <w:rsid w:val="001F73C8"/>
    <w:rsid w:val="001F7F34"/>
    <w:rsid w:val="002006B9"/>
    <w:rsid w:val="00202DA8"/>
    <w:rsid w:val="0020377D"/>
    <w:rsid w:val="002041FD"/>
    <w:rsid w:val="00204CB3"/>
    <w:rsid w:val="002054F0"/>
    <w:rsid w:val="00211ED3"/>
    <w:rsid w:val="002127C3"/>
    <w:rsid w:val="00212B96"/>
    <w:rsid w:val="00212C49"/>
    <w:rsid w:val="00214C7F"/>
    <w:rsid w:val="00215B71"/>
    <w:rsid w:val="00215DE0"/>
    <w:rsid w:val="002204F3"/>
    <w:rsid w:val="002212FF"/>
    <w:rsid w:val="002215C5"/>
    <w:rsid w:val="0022244B"/>
    <w:rsid w:val="00224342"/>
    <w:rsid w:val="00224CB1"/>
    <w:rsid w:val="00225B3C"/>
    <w:rsid w:val="00227B83"/>
    <w:rsid w:val="00231021"/>
    <w:rsid w:val="0023146E"/>
    <w:rsid w:val="0023152C"/>
    <w:rsid w:val="00237626"/>
    <w:rsid w:val="00237BDD"/>
    <w:rsid w:val="00240B4C"/>
    <w:rsid w:val="00242036"/>
    <w:rsid w:val="002420DB"/>
    <w:rsid w:val="00242671"/>
    <w:rsid w:val="00242C2C"/>
    <w:rsid w:val="002452D8"/>
    <w:rsid w:val="00245A47"/>
    <w:rsid w:val="002472B2"/>
    <w:rsid w:val="002474A5"/>
    <w:rsid w:val="00247E9A"/>
    <w:rsid w:val="00250E27"/>
    <w:rsid w:val="00251BC8"/>
    <w:rsid w:val="00251BD2"/>
    <w:rsid w:val="00252007"/>
    <w:rsid w:val="002526BD"/>
    <w:rsid w:val="0025525D"/>
    <w:rsid w:val="00256459"/>
    <w:rsid w:val="00260B8A"/>
    <w:rsid w:val="00261C1C"/>
    <w:rsid w:val="002623A4"/>
    <w:rsid w:val="002623EB"/>
    <w:rsid w:val="00262428"/>
    <w:rsid w:val="00262CBA"/>
    <w:rsid w:val="00263638"/>
    <w:rsid w:val="00266D5D"/>
    <w:rsid w:val="00270B3D"/>
    <w:rsid w:val="002717F5"/>
    <w:rsid w:val="00272033"/>
    <w:rsid w:val="00273F1E"/>
    <w:rsid w:val="00274383"/>
    <w:rsid w:val="00274AE0"/>
    <w:rsid w:val="00277E06"/>
    <w:rsid w:val="00280A6F"/>
    <w:rsid w:val="00281175"/>
    <w:rsid w:val="00281F77"/>
    <w:rsid w:val="00282479"/>
    <w:rsid w:val="00282656"/>
    <w:rsid w:val="0028345B"/>
    <w:rsid w:val="00283A92"/>
    <w:rsid w:val="00283C3E"/>
    <w:rsid w:val="00283C93"/>
    <w:rsid w:val="00283CE1"/>
    <w:rsid w:val="00283EBC"/>
    <w:rsid w:val="00284A50"/>
    <w:rsid w:val="00284CAB"/>
    <w:rsid w:val="0028637D"/>
    <w:rsid w:val="0028699D"/>
    <w:rsid w:val="002904C9"/>
    <w:rsid w:val="00291106"/>
    <w:rsid w:val="00292CE5"/>
    <w:rsid w:val="00292DB2"/>
    <w:rsid w:val="00293AB9"/>
    <w:rsid w:val="0029437D"/>
    <w:rsid w:val="00296593"/>
    <w:rsid w:val="002967AB"/>
    <w:rsid w:val="00297428"/>
    <w:rsid w:val="00297A36"/>
    <w:rsid w:val="002A04AE"/>
    <w:rsid w:val="002A04BB"/>
    <w:rsid w:val="002A237D"/>
    <w:rsid w:val="002A260A"/>
    <w:rsid w:val="002A2667"/>
    <w:rsid w:val="002A2EDB"/>
    <w:rsid w:val="002A3665"/>
    <w:rsid w:val="002A4756"/>
    <w:rsid w:val="002A4D63"/>
    <w:rsid w:val="002A58A5"/>
    <w:rsid w:val="002A6CDC"/>
    <w:rsid w:val="002B0724"/>
    <w:rsid w:val="002B1699"/>
    <w:rsid w:val="002B181D"/>
    <w:rsid w:val="002B45EC"/>
    <w:rsid w:val="002B5EAB"/>
    <w:rsid w:val="002B696E"/>
    <w:rsid w:val="002B6C32"/>
    <w:rsid w:val="002C002E"/>
    <w:rsid w:val="002C00F2"/>
    <w:rsid w:val="002C1478"/>
    <w:rsid w:val="002C1EED"/>
    <w:rsid w:val="002C2259"/>
    <w:rsid w:val="002C32DB"/>
    <w:rsid w:val="002C3580"/>
    <w:rsid w:val="002C4B01"/>
    <w:rsid w:val="002C4E44"/>
    <w:rsid w:val="002C67E8"/>
    <w:rsid w:val="002C6F25"/>
    <w:rsid w:val="002D072E"/>
    <w:rsid w:val="002D1E87"/>
    <w:rsid w:val="002D2520"/>
    <w:rsid w:val="002D2BAB"/>
    <w:rsid w:val="002D3104"/>
    <w:rsid w:val="002D7F94"/>
    <w:rsid w:val="002E0237"/>
    <w:rsid w:val="002E0AF6"/>
    <w:rsid w:val="002E2EC4"/>
    <w:rsid w:val="002E3058"/>
    <w:rsid w:val="002E33D9"/>
    <w:rsid w:val="002E3C85"/>
    <w:rsid w:val="002E40E0"/>
    <w:rsid w:val="002E449C"/>
    <w:rsid w:val="002E6E29"/>
    <w:rsid w:val="002E72AA"/>
    <w:rsid w:val="002F094F"/>
    <w:rsid w:val="002F32CE"/>
    <w:rsid w:val="002F5244"/>
    <w:rsid w:val="002F532D"/>
    <w:rsid w:val="002F5CC1"/>
    <w:rsid w:val="002F62D7"/>
    <w:rsid w:val="002F7E81"/>
    <w:rsid w:val="00301702"/>
    <w:rsid w:val="0030317F"/>
    <w:rsid w:val="003034F6"/>
    <w:rsid w:val="003035BA"/>
    <w:rsid w:val="00304064"/>
    <w:rsid w:val="00304BAB"/>
    <w:rsid w:val="00304DB5"/>
    <w:rsid w:val="00305364"/>
    <w:rsid w:val="00306A09"/>
    <w:rsid w:val="00310F35"/>
    <w:rsid w:val="0031468F"/>
    <w:rsid w:val="00314D8C"/>
    <w:rsid w:val="00315768"/>
    <w:rsid w:val="00316A21"/>
    <w:rsid w:val="003207D9"/>
    <w:rsid w:val="00322549"/>
    <w:rsid w:val="003231F9"/>
    <w:rsid w:val="00323671"/>
    <w:rsid w:val="00324A33"/>
    <w:rsid w:val="00324B32"/>
    <w:rsid w:val="003250A2"/>
    <w:rsid w:val="0032621A"/>
    <w:rsid w:val="00327952"/>
    <w:rsid w:val="003316A4"/>
    <w:rsid w:val="00332DCF"/>
    <w:rsid w:val="00342512"/>
    <w:rsid w:val="003428A5"/>
    <w:rsid w:val="00344CE0"/>
    <w:rsid w:val="0034592A"/>
    <w:rsid w:val="00345CAB"/>
    <w:rsid w:val="00345F81"/>
    <w:rsid w:val="0034668E"/>
    <w:rsid w:val="00351942"/>
    <w:rsid w:val="00351BE1"/>
    <w:rsid w:val="00352983"/>
    <w:rsid w:val="00353E9C"/>
    <w:rsid w:val="00357C0F"/>
    <w:rsid w:val="00360066"/>
    <w:rsid w:val="003616BC"/>
    <w:rsid w:val="00363103"/>
    <w:rsid w:val="00365525"/>
    <w:rsid w:val="0036562B"/>
    <w:rsid w:val="00365A25"/>
    <w:rsid w:val="00366A01"/>
    <w:rsid w:val="00370FD8"/>
    <w:rsid w:val="00371DD3"/>
    <w:rsid w:val="0037216A"/>
    <w:rsid w:val="00373984"/>
    <w:rsid w:val="003741CC"/>
    <w:rsid w:val="0037486F"/>
    <w:rsid w:val="00375418"/>
    <w:rsid w:val="0037598A"/>
    <w:rsid w:val="003763AD"/>
    <w:rsid w:val="00376D3C"/>
    <w:rsid w:val="003772CB"/>
    <w:rsid w:val="00377BA8"/>
    <w:rsid w:val="00377DE6"/>
    <w:rsid w:val="0038055E"/>
    <w:rsid w:val="00380FA5"/>
    <w:rsid w:val="003836D7"/>
    <w:rsid w:val="003845B8"/>
    <w:rsid w:val="00385850"/>
    <w:rsid w:val="00385AAE"/>
    <w:rsid w:val="00385EC7"/>
    <w:rsid w:val="00385ED6"/>
    <w:rsid w:val="00386BD8"/>
    <w:rsid w:val="00390D21"/>
    <w:rsid w:val="00391572"/>
    <w:rsid w:val="00391573"/>
    <w:rsid w:val="00392452"/>
    <w:rsid w:val="00392BF8"/>
    <w:rsid w:val="0039389B"/>
    <w:rsid w:val="00394CE6"/>
    <w:rsid w:val="003951CD"/>
    <w:rsid w:val="003955D3"/>
    <w:rsid w:val="00396951"/>
    <w:rsid w:val="00397FC4"/>
    <w:rsid w:val="003A2969"/>
    <w:rsid w:val="003A2C54"/>
    <w:rsid w:val="003A4064"/>
    <w:rsid w:val="003A4A54"/>
    <w:rsid w:val="003A5B6E"/>
    <w:rsid w:val="003A621E"/>
    <w:rsid w:val="003B208C"/>
    <w:rsid w:val="003B28D1"/>
    <w:rsid w:val="003B2BB8"/>
    <w:rsid w:val="003B2D7A"/>
    <w:rsid w:val="003B7DB0"/>
    <w:rsid w:val="003C0BC1"/>
    <w:rsid w:val="003C15DC"/>
    <w:rsid w:val="003C2A6A"/>
    <w:rsid w:val="003C46FF"/>
    <w:rsid w:val="003C5DB5"/>
    <w:rsid w:val="003D0A2E"/>
    <w:rsid w:val="003D0A3C"/>
    <w:rsid w:val="003D1DA9"/>
    <w:rsid w:val="003D2669"/>
    <w:rsid w:val="003D295B"/>
    <w:rsid w:val="003D3053"/>
    <w:rsid w:val="003D4015"/>
    <w:rsid w:val="003D51C5"/>
    <w:rsid w:val="003D5295"/>
    <w:rsid w:val="003D6E19"/>
    <w:rsid w:val="003D7CD6"/>
    <w:rsid w:val="003E06E3"/>
    <w:rsid w:val="003E06E7"/>
    <w:rsid w:val="003E161C"/>
    <w:rsid w:val="003E4FD7"/>
    <w:rsid w:val="003E56F9"/>
    <w:rsid w:val="003E5860"/>
    <w:rsid w:val="003E5B92"/>
    <w:rsid w:val="003F0802"/>
    <w:rsid w:val="003F2F39"/>
    <w:rsid w:val="003F32E7"/>
    <w:rsid w:val="003F44D6"/>
    <w:rsid w:val="003F5145"/>
    <w:rsid w:val="003F5D79"/>
    <w:rsid w:val="003F653C"/>
    <w:rsid w:val="003F6B47"/>
    <w:rsid w:val="00400C41"/>
    <w:rsid w:val="00401641"/>
    <w:rsid w:val="00404EC2"/>
    <w:rsid w:val="00404F70"/>
    <w:rsid w:val="00405C64"/>
    <w:rsid w:val="00405EC7"/>
    <w:rsid w:val="004066F6"/>
    <w:rsid w:val="00406DAE"/>
    <w:rsid w:val="004074ED"/>
    <w:rsid w:val="00410FEE"/>
    <w:rsid w:val="00411401"/>
    <w:rsid w:val="00413A3C"/>
    <w:rsid w:val="0041483D"/>
    <w:rsid w:val="00415D1D"/>
    <w:rsid w:val="0041683C"/>
    <w:rsid w:val="00416A29"/>
    <w:rsid w:val="004178CD"/>
    <w:rsid w:val="00417BA8"/>
    <w:rsid w:val="00420546"/>
    <w:rsid w:val="00420E3B"/>
    <w:rsid w:val="0042125A"/>
    <w:rsid w:val="00422237"/>
    <w:rsid w:val="004251C5"/>
    <w:rsid w:val="00426B57"/>
    <w:rsid w:val="00427010"/>
    <w:rsid w:val="0043041D"/>
    <w:rsid w:val="00432720"/>
    <w:rsid w:val="0043294D"/>
    <w:rsid w:val="00433085"/>
    <w:rsid w:val="00435C46"/>
    <w:rsid w:val="00436C74"/>
    <w:rsid w:val="00437F87"/>
    <w:rsid w:val="00440056"/>
    <w:rsid w:val="004412A3"/>
    <w:rsid w:val="00441383"/>
    <w:rsid w:val="00441971"/>
    <w:rsid w:val="00441EB8"/>
    <w:rsid w:val="0044273F"/>
    <w:rsid w:val="00442769"/>
    <w:rsid w:val="00442B4C"/>
    <w:rsid w:val="00443479"/>
    <w:rsid w:val="00443860"/>
    <w:rsid w:val="00443D3D"/>
    <w:rsid w:val="00444382"/>
    <w:rsid w:val="00444E6D"/>
    <w:rsid w:val="00445B58"/>
    <w:rsid w:val="0045107A"/>
    <w:rsid w:val="00451B78"/>
    <w:rsid w:val="00455106"/>
    <w:rsid w:val="00455F06"/>
    <w:rsid w:val="00455F7F"/>
    <w:rsid w:val="00456633"/>
    <w:rsid w:val="00460C26"/>
    <w:rsid w:val="00460FDF"/>
    <w:rsid w:val="004626DA"/>
    <w:rsid w:val="00462DB7"/>
    <w:rsid w:val="00464376"/>
    <w:rsid w:val="00464D28"/>
    <w:rsid w:val="004655B0"/>
    <w:rsid w:val="00465D20"/>
    <w:rsid w:val="00467C2A"/>
    <w:rsid w:val="00467E79"/>
    <w:rsid w:val="004707CC"/>
    <w:rsid w:val="00470EB1"/>
    <w:rsid w:val="00471B38"/>
    <w:rsid w:val="00472676"/>
    <w:rsid w:val="00474117"/>
    <w:rsid w:val="00477A8A"/>
    <w:rsid w:val="00480B3D"/>
    <w:rsid w:val="00480FE2"/>
    <w:rsid w:val="0048110E"/>
    <w:rsid w:val="00481E30"/>
    <w:rsid w:val="00482242"/>
    <w:rsid w:val="00482A5E"/>
    <w:rsid w:val="00482B40"/>
    <w:rsid w:val="00486101"/>
    <w:rsid w:val="004878F1"/>
    <w:rsid w:val="00490CB6"/>
    <w:rsid w:val="0049123C"/>
    <w:rsid w:val="00491AA6"/>
    <w:rsid w:val="00493DF7"/>
    <w:rsid w:val="00496FD4"/>
    <w:rsid w:val="00497184"/>
    <w:rsid w:val="004A01CF"/>
    <w:rsid w:val="004A0613"/>
    <w:rsid w:val="004A0C8F"/>
    <w:rsid w:val="004A2824"/>
    <w:rsid w:val="004A289B"/>
    <w:rsid w:val="004A32DB"/>
    <w:rsid w:val="004A4843"/>
    <w:rsid w:val="004A6772"/>
    <w:rsid w:val="004B065E"/>
    <w:rsid w:val="004B11FA"/>
    <w:rsid w:val="004B17C8"/>
    <w:rsid w:val="004B2CB0"/>
    <w:rsid w:val="004B3C0E"/>
    <w:rsid w:val="004B54A3"/>
    <w:rsid w:val="004B5FD6"/>
    <w:rsid w:val="004B644F"/>
    <w:rsid w:val="004B6BB7"/>
    <w:rsid w:val="004B6D05"/>
    <w:rsid w:val="004B6ED8"/>
    <w:rsid w:val="004B6F71"/>
    <w:rsid w:val="004C000F"/>
    <w:rsid w:val="004C0817"/>
    <w:rsid w:val="004C24D8"/>
    <w:rsid w:val="004C2AC1"/>
    <w:rsid w:val="004C37CD"/>
    <w:rsid w:val="004C3DE2"/>
    <w:rsid w:val="004C5762"/>
    <w:rsid w:val="004C6717"/>
    <w:rsid w:val="004C693F"/>
    <w:rsid w:val="004C6DAA"/>
    <w:rsid w:val="004C74B6"/>
    <w:rsid w:val="004D1D6E"/>
    <w:rsid w:val="004D2835"/>
    <w:rsid w:val="004D35D5"/>
    <w:rsid w:val="004D4688"/>
    <w:rsid w:val="004E265D"/>
    <w:rsid w:val="004E29C2"/>
    <w:rsid w:val="004E3626"/>
    <w:rsid w:val="004E4CE7"/>
    <w:rsid w:val="004E733B"/>
    <w:rsid w:val="004F243E"/>
    <w:rsid w:val="004F477E"/>
    <w:rsid w:val="004F4FA6"/>
    <w:rsid w:val="004F686E"/>
    <w:rsid w:val="004F77CE"/>
    <w:rsid w:val="00501C8D"/>
    <w:rsid w:val="005027DC"/>
    <w:rsid w:val="00502B12"/>
    <w:rsid w:val="00504AE7"/>
    <w:rsid w:val="00505A43"/>
    <w:rsid w:val="00506401"/>
    <w:rsid w:val="005079AD"/>
    <w:rsid w:val="005079BF"/>
    <w:rsid w:val="0051344D"/>
    <w:rsid w:val="00517BD3"/>
    <w:rsid w:val="005201C7"/>
    <w:rsid w:val="00522EC6"/>
    <w:rsid w:val="00523CB1"/>
    <w:rsid w:val="005245DC"/>
    <w:rsid w:val="00524BF2"/>
    <w:rsid w:val="005256CF"/>
    <w:rsid w:val="00525EAD"/>
    <w:rsid w:val="00526DAA"/>
    <w:rsid w:val="00527BA7"/>
    <w:rsid w:val="00530806"/>
    <w:rsid w:val="0053385E"/>
    <w:rsid w:val="00533C28"/>
    <w:rsid w:val="00534046"/>
    <w:rsid w:val="00534CBA"/>
    <w:rsid w:val="00535378"/>
    <w:rsid w:val="00536BAF"/>
    <w:rsid w:val="00540097"/>
    <w:rsid w:val="00546231"/>
    <w:rsid w:val="0054690C"/>
    <w:rsid w:val="005473F9"/>
    <w:rsid w:val="00550431"/>
    <w:rsid w:val="005509FF"/>
    <w:rsid w:val="00551C0A"/>
    <w:rsid w:val="00551EAF"/>
    <w:rsid w:val="005530BA"/>
    <w:rsid w:val="0055467A"/>
    <w:rsid w:val="0055704E"/>
    <w:rsid w:val="0056084C"/>
    <w:rsid w:val="00560CEF"/>
    <w:rsid w:val="0056190F"/>
    <w:rsid w:val="005619C5"/>
    <w:rsid w:val="0056288E"/>
    <w:rsid w:val="00570452"/>
    <w:rsid w:val="00571C1B"/>
    <w:rsid w:val="005727B8"/>
    <w:rsid w:val="005729C3"/>
    <w:rsid w:val="005732B0"/>
    <w:rsid w:val="00580326"/>
    <w:rsid w:val="00580E54"/>
    <w:rsid w:val="00581038"/>
    <w:rsid w:val="00581581"/>
    <w:rsid w:val="005836A5"/>
    <w:rsid w:val="00583B0E"/>
    <w:rsid w:val="00584136"/>
    <w:rsid w:val="00584C44"/>
    <w:rsid w:val="00584E77"/>
    <w:rsid w:val="00584F6B"/>
    <w:rsid w:val="00586711"/>
    <w:rsid w:val="00586A2C"/>
    <w:rsid w:val="00587A6E"/>
    <w:rsid w:val="005913EC"/>
    <w:rsid w:val="00591940"/>
    <w:rsid w:val="00591AAA"/>
    <w:rsid w:val="00592197"/>
    <w:rsid w:val="005923D4"/>
    <w:rsid w:val="00592D00"/>
    <w:rsid w:val="00592D2D"/>
    <w:rsid w:val="00592FB5"/>
    <w:rsid w:val="0059544E"/>
    <w:rsid w:val="00595BF3"/>
    <w:rsid w:val="00595D4E"/>
    <w:rsid w:val="00596891"/>
    <w:rsid w:val="00596921"/>
    <w:rsid w:val="00596D81"/>
    <w:rsid w:val="00597610"/>
    <w:rsid w:val="0059763A"/>
    <w:rsid w:val="00597AA4"/>
    <w:rsid w:val="00597B6F"/>
    <w:rsid w:val="005A0375"/>
    <w:rsid w:val="005A0622"/>
    <w:rsid w:val="005A194C"/>
    <w:rsid w:val="005A1BC7"/>
    <w:rsid w:val="005A2311"/>
    <w:rsid w:val="005A4A73"/>
    <w:rsid w:val="005A4DED"/>
    <w:rsid w:val="005A4E26"/>
    <w:rsid w:val="005B0059"/>
    <w:rsid w:val="005B403D"/>
    <w:rsid w:val="005B461D"/>
    <w:rsid w:val="005B46E1"/>
    <w:rsid w:val="005B54A8"/>
    <w:rsid w:val="005B69AF"/>
    <w:rsid w:val="005B743B"/>
    <w:rsid w:val="005C08AE"/>
    <w:rsid w:val="005C1760"/>
    <w:rsid w:val="005C330A"/>
    <w:rsid w:val="005C38A9"/>
    <w:rsid w:val="005C4118"/>
    <w:rsid w:val="005C4480"/>
    <w:rsid w:val="005C508A"/>
    <w:rsid w:val="005C5B84"/>
    <w:rsid w:val="005C5C24"/>
    <w:rsid w:val="005C712D"/>
    <w:rsid w:val="005C7171"/>
    <w:rsid w:val="005C7232"/>
    <w:rsid w:val="005C7A96"/>
    <w:rsid w:val="005D07E7"/>
    <w:rsid w:val="005D08C5"/>
    <w:rsid w:val="005D152B"/>
    <w:rsid w:val="005D3B4F"/>
    <w:rsid w:val="005D6CEE"/>
    <w:rsid w:val="005E0149"/>
    <w:rsid w:val="005E0CC6"/>
    <w:rsid w:val="005E0F30"/>
    <w:rsid w:val="005E1581"/>
    <w:rsid w:val="005E1BDC"/>
    <w:rsid w:val="005E1E77"/>
    <w:rsid w:val="005E38BA"/>
    <w:rsid w:val="005E4670"/>
    <w:rsid w:val="005E4D0D"/>
    <w:rsid w:val="005E5248"/>
    <w:rsid w:val="005E5EC8"/>
    <w:rsid w:val="005E5F46"/>
    <w:rsid w:val="005E7E66"/>
    <w:rsid w:val="005F1D7D"/>
    <w:rsid w:val="005F250A"/>
    <w:rsid w:val="005F462B"/>
    <w:rsid w:val="005F6094"/>
    <w:rsid w:val="00601330"/>
    <w:rsid w:val="00602A7F"/>
    <w:rsid w:val="00602B06"/>
    <w:rsid w:val="00603939"/>
    <w:rsid w:val="00604467"/>
    <w:rsid w:val="006071BF"/>
    <w:rsid w:val="00611BCD"/>
    <w:rsid w:val="00614597"/>
    <w:rsid w:val="006172A8"/>
    <w:rsid w:val="00617796"/>
    <w:rsid w:val="00620AF1"/>
    <w:rsid w:val="006214D3"/>
    <w:rsid w:val="00632EE9"/>
    <w:rsid w:val="0063434B"/>
    <w:rsid w:val="00634F59"/>
    <w:rsid w:val="0063519B"/>
    <w:rsid w:val="006362E8"/>
    <w:rsid w:val="00636982"/>
    <w:rsid w:val="00640532"/>
    <w:rsid w:val="00640F8A"/>
    <w:rsid w:val="00642763"/>
    <w:rsid w:val="006440B5"/>
    <w:rsid w:val="00644E41"/>
    <w:rsid w:val="0064545E"/>
    <w:rsid w:val="006454BA"/>
    <w:rsid w:val="006463F9"/>
    <w:rsid w:val="00647E7F"/>
    <w:rsid w:val="006501CC"/>
    <w:rsid w:val="0065022F"/>
    <w:rsid w:val="00650454"/>
    <w:rsid w:val="00651600"/>
    <w:rsid w:val="006516BF"/>
    <w:rsid w:val="006552F6"/>
    <w:rsid w:val="0065584B"/>
    <w:rsid w:val="00655871"/>
    <w:rsid w:val="006573AC"/>
    <w:rsid w:val="00657930"/>
    <w:rsid w:val="0066210D"/>
    <w:rsid w:val="00662615"/>
    <w:rsid w:val="00662EF1"/>
    <w:rsid w:val="006636BF"/>
    <w:rsid w:val="0066486C"/>
    <w:rsid w:val="00667F75"/>
    <w:rsid w:val="00671BAA"/>
    <w:rsid w:val="00672721"/>
    <w:rsid w:val="006738DE"/>
    <w:rsid w:val="00673E1B"/>
    <w:rsid w:val="00673E23"/>
    <w:rsid w:val="006743F5"/>
    <w:rsid w:val="0067481D"/>
    <w:rsid w:val="006750DB"/>
    <w:rsid w:val="00676504"/>
    <w:rsid w:val="006768E4"/>
    <w:rsid w:val="00677AEB"/>
    <w:rsid w:val="00680C05"/>
    <w:rsid w:val="00681667"/>
    <w:rsid w:val="00683ED1"/>
    <w:rsid w:val="00684611"/>
    <w:rsid w:val="006851AA"/>
    <w:rsid w:val="006866FB"/>
    <w:rsid w:val="00686B9D"/>
    <w:rsid w:val="00687093"/>
    <w:rsid w:val="00690E76"/>
    <w:rsid w:val="00690EAB"/>
    <w:rsid w:val="006940AA"/>
    <w:rsid w:val="00694BD4"/>
    <w:rsid w:val="00697925"/>
    <w:rsid w:val="00697E27"/>
    <w:rsid w:val="006A01D2"/>
    <w:rsid w:val="006A0F35"/>
    <w:rsid w:val="006A194F"/>
    <w:rsid w:val="006A20EA"/>
    <w:rsid w:val="006A3250"/>
    <w:rsid w:val="006A4856"/>
    <w:rsid w:val="006A5507"/>
    <w:rsid w:val="006A72F7"/>
    <w:rsid w:val="006B005C"/>
    <w:rsid w:val="006B0563"/>
    <w:rsid w:val="006B190B"/>
    <w:rsid w:val="006B1A06"/>
    <w:rsid w:val="006B1A7D"/>
    <w:rsid w:val="006B31B5"/>
    <w:rsid w:val="006B4074"/>
    <w:rsid w:val="006B43BF"/>
    <w:rsid w:val="006B4ED8"/>
    <w:rsid w:val="006B5BFB"/>
    <w:rsid w:val="006C00D0"/>
    <w:rsid w:val="006C04B2"/>
    <w:rsid w:val="006C0D9B"/>
    <w:rsid w:val="006C2080"/>
    <w:rsid w:val="006C34B7"/>
    <w:rsid w:val="006C3EF2"/>
    <w:rsid w:val="006C459A"/>
    <w:rsid w:val="006D1129"/>
    <w:rsid w:val="006D17ED"/>
    <w:rsid w:val="006D262E"/>
    <w:rsid w:val="006D2B31"/>
    <w:rsid w:val="006D2D4C"/>
    <w:rsid w:val="006D2DBA"/>
    <w:rsid w:val="006D2ED3"/>
    <w:rsid w:val="006D4680"/>
    <w:rsid w:val="006D56DC"/>
    <w:rsid w:val="006D6BEF"/>
    <w:rsid w:val="006E0052"/>
    <w:rsid w:val="006E193C"/>
    <w:rsid w:val="006E20AE"/>
    <w:rsid w:val="006E21A3"/>
    <w:rsid w:val="006E2936"/>
    <w:rsid w:val="006E3C24"/>
    <w:rsid w:val="006E519B"/>
    <w:rsid w:val="006E5C36"/>
    <w:rsid w:val="006E6097"/>
    <w:rsid w:val="006E7228"/>
    <w:rsid w:val="006E7514"/>
    <w:rsid w:val="006F2DAB"/>
    <w:rsid w:val="006F44C0"/>
    <w:rsid w:val="006F51E5"/>
    <w:rsid w:val="006F547E"/>
    <w:rsid w:val="006F54B2"/>
    <w:rsid w:val="006F5752"/>
    <w:rsid w:val="006F6160"/>
    <w:rsid w:val="006F661B"/>
    <w:rsid w:val="006F7A8D"/>
    <w:rsid w:val="007009B7"/>
    <w:rsid w:val="00700E06"/>
    <w:rsid w:val="007011FD"/>
    <w:rsid w:val="00703158"/>
    <w:rsid w:val="00703779"/>
    <w:rsid w:val="00703D8D"/>
    <w:rsid w:val="00705191"/>
    <w:rsid w:val="00706C80"/>
    <w:rsid w:val="00706D5E"/>
    <w:rsid w:val="0071044D"/>
    <w:rsid w:val="007108CF"/>
    <w:rsid w:val="00710DBD"/>
    <w:rsid w:val="0071215D"/>
    <w:rsid w:val="007124AD"/>
    <w:rsid w:val="00712EDF"/>
    <w:rsid w:val="007136E5"/>
    <w:rsid w:val="007139CC"/>
    <w:rsid w:val="00717F33"/>
    <w:rsid w:val="007204C2"/>
    <w:rsid w:val="00720D80"/>
    <w:rsid w:val="00720E3A"/>
    <w:rsid w:val="00721D10"/>
    <w:rsid w:val="00722506"/>
    <w:rsid w:val="00723108"/>
    <w:rsid w:val="00723477"/>
    <w:rsid w:val="00723579"/>
    <w:rsid w:val="00724B2C"/>
    <w:rsid w:val="007257F5"/>
    <w:rsid w:val="00726C6D"/>
    <w:rsid w:val="0072711E"/>
    <w:rsid w:val="007279E2"/>
    <w:rsid w:val="007311B2"/>
    <w:rsid w:val="00732D54"/>
    <w:rsid w:val="00733F6F"/>
    <w:rsid w:val="00734951"/>
    <w:rsid w:val="00735C0A"/>
    <w:rsid w:val="0073618D"/>
    <w:rsid w:val="007363F7"/>
    <w:rsid w:val="007370D1"/>
    <w:rsid w:val="00740700"/>
    <w:rsid w:val="0074073D"/>
    <w:rsid w:val="0074096C"/>
    <w:rsid w:val="00740A6B"/>
    <w:rsid w:val="00740D4A"/>
    <w:rsid w:val="007416FD"/>
    <w:rsid w:val="00741C65"/>
    <w:rsid w:val="00742109"/>
    <w:rsid w:val="007465C3"/>
    <w:rsid w:val="00751201"/>
    <w:rsid w:val="00751312"/>
    <w:rsid w:val="00751E87"/>
    <w:rsid w:val="0075220E"/>
    <w:rsid w:val="00752C87"/>
    <w:rsid w:val="00753021"/>
    <w:rsid w:val="007543D5"/>
    <w:rsid w:val="00754431"/>
    <w:rsid w:val="00755AAB"/>
    <w:rsid w:val="007562ED"/>
    <w:rsid w:val="0075668A"/>
    <w:rsid w:val="00756A35"/>
    <w:rsid w:val="00757AC3"/>
    <w:rsid w:val="00757F69"/>
    <w:rsid w:val="00762AD4"/>
    <w:rsid w:val="00763A26"/>
    <w:rsid w:val="00764557"/>
    <w:rsid w:val="00765E60"/>
    <w:rsid w:val="00765E65"/>
    <w:rsid w:val="0076676E"/>
    <w:rsid w:val="007672C5"/>
    <w:rsid w:val="00767956"/>
    <w:rsid w:val="00771E47"/>
    <w:rsid w:val="0077227A"/>
    <w:rsid w:val="00773BF3"/>
    <w:rsid w:val="0077490D"/>
    <w:rsid w:val="00774CBF"/>
    <w:rsid w:val="007758E4"/>
    <w:rsid w:val="007758F9"/>
    <w:rsid w:val="00777490"/>
    <w:rsid w:val="007775C9"/>
    <w:rsid w:val="007802B4"/>
    <w:rsid w:val="007841BE"/>
    <w:rsid w:val="00785900"/>
    <w:rsid w:val="007863E5"/>
    <w:rsid w:val="00786660"/>
    <w:rsid w:val="00786734"/>
    <w:rsid w:val="00787453"/>
    <w:rsid w:val="007878EF"/>
    <w:rsid w:val="00787AC9"/>
    <w:rsid w:val="00787F8A"/>
    <w:rsid w:val="0079292B"/>
    <w:rsid w:val="007949AD"/>
    <w:rsid w:val="00794DB7"/>
    <w:rsid w:val="007954F6"/>
    <w:rsid w:val="0079724D"/>
    <w:rsid w:val="007A074C"/>
    <w:rsid w:val="007A07BC"/>
    <w:rsid w:val="007A2846"/>
    <w:rsid w:val="007A33C8"/>
    <w:rsid w:val="007A5BB9"/>
    <w:rsid w:val="007A5E7D"/>
    <w:rsid w:val="007A63B6"/>
    <w:rsid w:val="007A6D05"/>
    <w:rsid w:val="007B0C75"/>
    <w:rsid w:val="007B19E7"/>
    <w:rsid w:val="007B1AA4"/>
    <w:rsid w:val="007B7CD2"/>
    <w:rsid w:val="007C15D8"/>
    <w:rsid w:val="007C2A62"/>
    <w:rsid w:val="007C2D77"/>
    <w:rsid w:val="007C2EEF"/>
    <w:rsid w:val="007C4447"/>
    <w:rsid w:val="007C5F89"/>
    <w:rsid w:val="007C6453"/>
    <w:rsid w:val="007C765A"/>
    <w:rsid w:val="007D1136"/>
    <w:rsid w:val="007D4130"/>
    <w:rsid w:val="007D483D"/>
    <w:rsid w:val="007E05AA"/>
    <w:rsid w:val="007E1031"/>
    <w:rsid w:val="007E11A9"/>
    <w:rsid w:val="007E17A0"/>
    <w:rsid w:val="007E2ADD"/>
    <w:rsid w:val="007E6BB4"/>
    <w:rsid w:val="007E7630"/>
    <w:rsid w:val="007F0111"/>
    <w:rsid w:val="007F284D"/>
    <w:rsid w:val="007F6320"/>
    <w:rsid w:val="007F6644"/>
    <w:rsid w:val="007F7297"/>
    <w:rsid w:val="007F79C6"/>
    <w:rsid w:val="00800B4D"/>
    <w:rsid w:val="008022E0"/>
    <w:rsid w:val="00805338"/>
    <w:rsid w:val="00805ADF"/>
    <w:rsid w:val="008073FB"/>
    <w:rsid w:val="00811680"/>
    <w:rsid w:val="00812813"/>
    <w:rsid w:val="008128F6"/>
    <w:rsid w:val="00814AF3"/>
    <w:rsid w:val="00815B3B"/>
    <w:rsid w:val="00815DBA"/>
    <w:rsid w:val="008161C3"/>
    <w:rsid w:val="00816366"/>
    <w:rsid w:val="00816709"/>
    <w:rsid w:val="0081673C"/>
    <w:rsid w:val="0081742C"/>
    <w:rsid w:val="0082039D"/>
    <w:rsid w:val="00820A0C"/>
    <w:rsid w:val="0082240A"/>
    <w:rsid w:val="00822467"/>
    <w:rsid w:val="008250B6"/>
    <w:rsid w:val="00825448"/>
    <w:rsid w:val="008257DC"/>
    <w:rsid w:val="008273BE"/>
    <w:rsid w:val="00827EFC"/>
    <w:rsid w:val="00830503"/>
    <w:rsid w:val="0083257B"/>
    <w:rsid w:val="00832918"/>
    <w:rsid w:val="00833053"/>
    <w:rsid w:val="00834DAA"/>
    <w:rsid w:val="008352E9"/>
    <w:rsid w:val="00835678"/>
    <w:rsid w:val="00835960"/>
    <w:rsid w:val="00836679"/>
    <w:rsid w:val="008372A4"/>
    <w:rsid w:val="0084004F"/>
    <w:rsid w:val="008413C8"/>
    <w:rsid w:val="008421F2"/>
    <w:rsid w:val="0084293A"/>
    <w:rsid w:val="00846B60"/>
    <w:rsid w:val="00847A63"/>
    <w:rsid w:val="00850E7D"/>
    <w:rsid w:val="0085318F"/>
    <w:rsid w:val="008531F5"/>
    <w:rsid w:val="008536C1"/>
    <w:rsid w:val="00853DE3"/>
    <w:rsid w:val="008543A9"/>
    <w:rsid w:val="00854CD2"/>
    <w:rsid w:val="008553C0"/>
    <w:rsid w:val="00856960"/>
    <w:rsid w:val="00861FBF"/>
    <w:rsid w:val="0086442E"/>
    <w:rsid w:val="008663E3"/>
    <w:rsid w:val="00867046"/>
    <w:rsid w:val="0086721A"/>
    <w:rsid w:val="00867C8C"/>
    <w:rsid w:val="008718D3"/>
    <w:rsid w:val="008719B3"/>
    <w:rsid w:val="00871B33"/>
    <w:rsid w:val="00871EA0"/>
    <w:rsid w:val="008733C2"/>
    <w:rsid w:val="00873AAF"/>
    <w:rsid w:val="00874B7F"/>
    <w:rsid w:val="008762B7"/>
    <w:rsid w:val="00876933"/>
    <w:rsid w:val="00876D49"/>
    <w:rsid w:val="00881236"/>
    <w:rsid w:val="00881770"/>
    <w:rsid w:val="008826B2"/>
    <w:rsid w:val="00886223"/>
    <w:rsid w:val="008863CF"/>
    <w:rsid w:val="008871EC"/>
    <w:rsid w:val="00892571"/>
    <w:rsid w:val="008969BF"/>
    <w:rsid w:val="00896B5B"/>
    <w:rsid w:val="008970DA"/>
    <w:rsid w:val="00897745"/>
    <w:rsid w:val="008A1303"/>
    <w:rsid w:val="008A3795"/>
    <w:rsid w:val="008A39B7"/>
    <w:rsid w:val="008A4406"/>
    <w:rsid w:val="008A47D2"/>
    <w:rsid w:val="008A47F1"/>
    <w:rsid w:val="008A480D"/>
    <w:rsid w:val="008A5C75"/>
    <w:rsid w:val="008A7278"/>
    <w:rsid w:val="008B323A"/>
    <w:rsid w:val="008B3DE2"/>
    <w:rsid w:val="008B586A"/>
    <w:rsid w:val="008C0E92"/>
    <w:rsid w:val="008C20C6"/>
    <w:rsid w:val="008C33FE"/>
    <w:rsid w:val="008C4054"/>
    <w:rsid w:val="008C47E0"/>
    <w:rsid w:val="008C6A1C"/>
    <w:rsid w:val="008C6B0E"/>
    <w:rsid w:val="008C6E8F"/>
    <w:rsid w:val="008C70E5"/>
    <w:rsid w:val="008D26FF"/>
    <w:rsid w:val="008D2E69"/>
    <w:rsid w:val="008D3E78"/>
    <w:rsid w:val="008D46F9"/>
    <w:rsid w:val="008D6042"/>
    <w:rsid w:val="008D66A8"/>
    <w:rsid w:val="008D6956"/>
    <w:rsid w:val="008D756F"/>
    <w:rsid w:val="008E0A78"/>
    <w:rsid w:val="008E16AB"/>
    <w:rsid w:val="008E2065"/>
    <w:rsid w:val="008E5595"/>
    <w:rsid w:val="008E560E"/>
    <w:rsid w:val="008E592A"/>
    <w:rsid w:val="008E67F9"/>
    <w:rsid w:val="008E6803"/>
    <w:rsid w:val="008F03A7"/>
    <w:rsid w:val="008F331A"/>
    <w:rsid w:val="008F3EE1"/>
    <w:rsid w:val="008F4D28"/>
    <w:rsid w:val="008F6FA7"/>
    <w:rsid w:val="008F761D"/>
    <w:rsid w:val="008F7E2B"/>
    <w:rsid w:val="009016C6"/>
    <w:rsid w:val="009025D2"/>
    <w:rsid w:val="009039A6"/>
    <w:rsid w:val="00904450"/>
    <w:rsid w:val="00904912"/>
    <w:rsid w:val="00905294"/>
    <w:rsid w:val="0090538A"/>
    <w:rsid w:val="00906713"/>
    <w:rsid w:val="00906E02"/>
    <w:rsid w:val="00907426"/>
    <w:rsid w:val="0090773C"/>
    <w:rsid w:val="00911913"/>
    <w:rsid w:val="009122A9"/>
    <w:rsid w:val="00912941"/>
    <w:rsid w:val="009143E6"/>
    <w:rsid w:val="009145AF"/>
    <w:rsid w:val="00915807"/>
    <w:rsid w:val="009158E3"/>
    <w:rsid w:val="0091741A"/>
    <w:rsid w:val="009207D7"/>
    <w:rsid w:val="00921D6F"/>
    <w:rsid w:val="00924501"/>
    <w:rsid w:val="0092451F"/>
    <w:rsid w:val="009248E5"/>
    <w:rsid w:val="009255DB"/>
    <w:rsid w:val="00925A7F"/>
    <w:rsid w:val="009263A7"/>
    <w:rsid w:val="009265DA"/>
    <w:rsid w:val="0092746A"/>
    <w:rsid w:val="00927777"/>
    <w:rsid w:val="009278B1"/>
    <w:rsid w:val="00931A29"/>
    <w:rsid w:val="00931BC5"/>
    <w:rsid w:val="00931D2D"/>
    <w:rsid w:val="009330B0"/>
    <w:rsid w:val="0093354B"/>
    <w:rsid w:val="0093464F"/>
    <w:rsid w:val="00934CF4"/>
    <w:rsid w:val="00934CFD"/>
    <w:rsid w:val="00937972"/>
    <w:rsid w:val="00941069"/>
    <w:rsid w:val="00941B73"/>
    <w:rsid w:val="009421E5"/>
    <w:rsid w:val="009434F1"/>
    <w:rsid w:val="00943CA0"/>
    <w:rsid w:val="009477EA"/>
    <w:rsid w:val="00947836"/>
    <w:rsid w:val="0095096A"/>
    <w:rsid w:val="0095117C"/>
    <w:rsid w:val="00951B1C"/>
    <w:rsid w:val="00951D5F"/>
    <w:rsid w:val="009522F4"/>
    <w:rsid w:val="00953C68"/>
    <w:rsid w:val="00953D39"/>
    <w:rsid w:val="00954BCA"/>
    <w:rsid w:val="00955695"/>
    <w:rsid w:val="00955E9A"/>
    <w:rsid w:val="009561C4"/>
    <w:rsid w:val="0095660E"/>
    <w:rsid w:val="00957CEC"/>
    <w:rsid w:val="009608FD"/>
    <w:rsid w:val="009609D9"/>
    <w:rsid w:val="00961298"/>
    <w:rsid w:val="009634DB"/>
    <w:rsid w:val="00965EE6"/>
    <w:rsid w:val="0097370B"/>
    <w:rsid w:val="00973FA6"/>
    <w:rsid w:val="00974339"/>
    <w:rsid w:val="009744B7"/>
    <w:rsid w:val="0097772A"/>
    <w:rsid w:val="0098018A"/>
    <w:rsid w:val="0098022F"/>
    <w:rsid w:val="0098116E"/>
    <w:rsid w:val="00983621"/>
    <w:rsid w:val="00983DA6"/>
    <w:rsid w:val="00985169"/>
    <w:rsid w:val="0098793C"/>
    <w:rsid w:val="00991126"/>
    <w:rsid w:val="00994310"/>
    <w:rsid w:val="00994BE9"/>
    <w:rsid w:val="00994FFC"/>
    <w:rsid w:val="009958FC"/>
    <w:rsid w:val="0099747B"/>
    <w:rsid w:val="009A0A04"/>
    <w:rsid w:val="009A0E30"/>
    <w:rsid w:val="009A10BA"/>
    <w:rsid w:val="009A1DB5"/>
    <w:rsid w:val="009A354E"/>
    <w:rsid w:val="009A7AF5"/>
    <w:rsid w:val="009B0102"/>
    <w:rsid w:val="009B0AA6"/>
    <w:rsid w:val="009B0DAF"/>
    <w:rsid w:val="009B324B"/>
    <w:rsid w:val="009B6F88"/>
    <w:rsid w:val="009B79DA"/>
    <w:rsid w:val="009B7C70"/>
    <w:rsid w:val="009B7EAF"/>
    <w:rsid w:val="009C01FA"/>
    <w:rsid w:val="009C1ED9"/>
    <w:rsid w:val="009C288C"/>
    <w:rsid w:val="009C3A07"/>
    <w:rsid w:val="009C54B8"/>
    <w:rsid w:val="009D0109"/>
    <w:rsid w:val="009D17A5"/>
    <w:rsid w:val="009D315B"/>
    <w:rsid w:val="009D4844"/>
    <w:rsid w:val="009D4C24"/>
    <w:rsid w:val="009D561B"/>
    <w:rsid w:val="009E010E"/>
    <w:rsid w:val="009E0D4C"/>
    <w:rsid w:val="009E2A8D"/>
    <w:rsid w:val="009E3C87"/>
    <w:rsid w:val="009E4A9D"/>
    <w:rsid w:val="009E4F57"/>
    <w:rsid w:val="009E5470"/>
    <w:rsid w:val="009E6782"/>
    <w:rsid w:val="009E6ED6"/>
    <w:rsid w:val="009E7226"/>
    <w:rsid w:val="009E7C10"/>
    <w:rsid w:val="009F0B7E"/>
    <w:rsid w:val="009F34F9"/>
    <w:rsid w:val="009F3D20"/>
    <w:rsid w:val="009F4470"/>
    <w:rsid w:val="009F4DB0"/>
    <w:rsid w:val="009F4EEB"/>
    <w:rsid w:val="009F5AD1"/>
    <w:rsid w:val="009F6AC1"/>
    <w:rsid w:val="009F7076"/>
    <w:rsid w:val="00A00CC5"/>
    <w:rsid w:val="00A02C84"/>
    <w:rsid w:val="00A03B22"/>
    <w:rsid w:val="00A043D8"/>
    <w:rsid w:val="00A054BA"/>
    <w:rsid w:val="00A056F7"/>
    <w:rsid w:val="00A11AF5"/>
    <w:rsid w:val="00A134B8"/>
    <w:rsid w:val="00A15E48"/>
    <w:rsid w:val="00A1709B"/>
    <w:rsid w:val="00A17D14"/>
    <w:rsid w:val="00A209A9"/>
    <w:rsid w:val="00A2141A"/>
    <w:rsid w:val="00A21989"/>
    <w:rsid w:val="00A219F9"/>
    <w:rsid w:val="00A2483A"/>
    <w:rsid w:val="00A24E97"/>
    <w:rsid w:val="00A25229"/>
    <w:rsid w:val="00A25B12"/>
    <w:rsid w:val="00A26F42"/>
    <w:rsid w:val="00A31E78"/>
    <w:rsid w:val="00A31F0B"/>
    <w:rsid w:val="00A33FE6"/>
    <w:rsid w:val="00A345F1"/>
    <w:rsid w:val="00A34D0B"/>
    <w:rsid w:val="00A36393"/>
    <w:rsid w:val="00A37AEB"/>
    <w:rsid w:val="00A40351"/>
    <w:rsid w:val="00A415A9"/>
    <w:rsid w:val="00A415B4"/>
    <w:rsid w:val="00A41BC6"/>
    <w:rsid w:val="00A432D3"/>
    <w:rsid w:val="00A434D0"/>
    <w:rsid w:val="00A454A5"/>
    <w:rsid w:val="00A4778C"/>
    <w:rsid w:val="00A50216"/>
    <w:rsid w:val="00A52095"/>
    <w:rsid w:val="00A54751"/>
    <w:rsid w:val="00A563D9"/>
    <w:rsid w:val="00A574F9"/>
    <w:rsid w:val="00A57D93"/>
    <w:rsid w:val="00A63484"/>
    <w:rsid w:val="00A63C90"/>
    <w:rsid w:val="00A65927"/>
    <w:rsid w:val="00A6598E"/>
    <w:rsid w:val="00A71022"/>
    <w:rsid w:val="00A71307"/>
    <w:rsid w:val="00A7258D"/>
    <w:rsid w:val="00A73278"/>
    <w:rsid w:val="00A752FE"/>
    <w:rsid w:val="00A758C0"/>
    <w:rsid w:val="00A8091A"/>
    <w:rsid w:val="00A819C7"/>
    <w:rsid w:val="00A8200E"/>
    <w:rsid w:val="00A83072"/>
    <w:rsid w:val="00A83D70"/>
    <w:rsid w:val="00A85781"/>
    <w:rsid w:val="00A85F0B"/>
    <w:rsid w:val="00A917F2"/>
    <w:rsid w:val="00A921A6"/>
    <w:rsid w:val="00A92F2B"/>
    <w:rsid w:val="00A951B1"/>
    <w:rsid w:val="00A95AF6"/>
    <w:rsid w:val="00A97523"/>
    <w:rsid w:val="00AA2192"/>
    <w:rsid w:val="00AA22C3"/>
    <w:rsid w:val="00AA29C5"/>
    <w:rsid w:val="00AA4308"/>
    <w:rsid w:val="00AA53FE"/>
    <w:rsid w:val="00AA620D"/>
    <w:rsid w:val="00AA7947"/>
    <w:rsid w:val="00AB0989"/>
    <w:rsid w:val="00AB0A16"/>
    <w:rsid w:val="00AB0BBF"/>
    <w:rsid w:val="00AB0E1F"/>
    <w:rsid w:val="00AB106D"/>
    <w:rsid w:val="00AB18FC"/>
    <w:rsid w:val="00AB1E05"/>
    <w:rsid w:val="00AB1FAA"/>
    <w:rsid w:val="00AB3B6E"/>
    <w:rsid w:val="00AB3DB7"/>
    <w:rsid w:val="00AB427A"/>
    <w:rsid w:val="00AB4DA5"/>
    <w:rsid w:val="00AB55D6"/>
    <w:rsid w:val="00AB5926"/>
    <w:rsid w:val="00AC0E1B"/>
    <w:rsid w:val="00AC1B77"/>
    <w:rsid w:val="00AC2868"/>
    <w:rsid w:val="00AC2B92"/>
    <w:rsid w:val="00AC59C8"/>
    <w:rsid w:val="00AC6305"/>
    <w:rsid w:val="00AC6FF1"/>
    <w:rsid w:val="00AC79FB"/>
    <w:rsid w:val="00AC7B9C"/>
    <w:rsid w:val="00AD04F1"/>
    <w:rsid w:val="00AD12C2"/>
    <w:rsid w:val="00AD1970"/>
    <w:rsid w:val="00AD256C"/>
    <w:rsid w:val="00AD2AE2"/>
    <w:rsid w:val="00AD30BB"/>
    <w:rsid w:val="00AD36B3"/>
    <w:rsid w:val="00AD6353"/>
    <w:rsid w:val="00AD6784"/>
    <w:rsid w:val="00AD6FAF"/>
    <w:rsid w:val="00AD73DD"/>
    <w:rsid w:val="00AE16A4"/>
    <w:rsid w:val="00AE2031"/>
    <w:rsid w:val="00AE2742"/>
    <w:rsid w:val="00AE3752"/>
    <w:rsid w:val="00AE4C47"/>
    <w:rsid w:val="00AE6F1E"/>
    <w:rsid w:val="00AE7D10"/>
    <w:rsid w:val="00AF029A"/>
    <w:rsid w:val="00AF127C"/>
    <w:rsid w:val="00AF16D6"/>
    <w:rsid w:val="00AF1821"/>
    <w:rsid w:val="00AF3AB5"/>
    <w:rsid w:val="00AF4057"/>
    <w:rsid w:val="00AF60D5"/>
    <w:rsid w:val="00AF72C6"/>
    <w:rsid w:val="00AF7405"/>
    <w:rsid w:val="00AF7AEA"/>
    <w:rsid w:val="00AF7CBF"/>
    <w:rsid w:val="00B00669"/>
    <w:rsid w:val="00B0071F"/>
    <w:rsid w:val="00B01A7D"/>
    <w:rsid w:val="00B01EED"/>
    <w:rsid w:val="00B02767"/>
    <w:rsid w:val="00B02F2C"/>
    <w:rsid w:val="00B03366"/>
    <w:rsid w:val="00B052E3"/>
    <w:rsid w:val="00B05E44"/>
    <w:rsid w:val="00B06999"/>
    <w:rsid w:val="00B07D7E"/>
    <w:rsid w:val="00B10E98"/>
    <w:rsid w:val="00B11595"/>
    <w:rsid w:val="00B12CC4"/>
    <w:rsid w:val="00B15505"/>
    <w:rsid w:val="00B15552"/>
    <w:rsid w:val="00B15B8D"/>
    <w:rsid w:val="00B169F1"/>
    <w:rsid w:val="00B229FD"/>
    <w:rsid w:val="00B235FB"/>
    <w:rsid w:val="00B25D12"/>
    <w:rsid w:val="00B26226"/>
    <w:rsid w:val="00B308BA"/>
    <w:rsid w:val="00B3169D"/>
    <w:rsid w:val="00B33D6A"/>
    <w:rsid w:val="00B34780"/>
    <w:rsid w:val="00B36A53"/>
    <w:rsid w:val="00B3701E"/>
    <w:rsid w:val="00B3753E"/>
    <w:rsid w:val="00B4028F"/>
    <w:rsid w:val="00B410F0"/>
    <w:rsid w:val="00B41BDE"/>
    <w:rsid w:val="00B4246B"/>
    <w:rsid w:val="00B42840"/>
    <w:rsid w:val="00B441DA"/>
    <w:rsid w:val="00B44651"/>
    <w:rsid w:val="00B460A5"/>
    <w:rsid w:val="00B46EA0"/>
    <w:rsid w:val="00B52205"/>
    <w:rsid w:val="00B52707"/>
    <w:rsid w:val="00B54026"/>
    <w:rsid w:val="00B54D1C"/>
    <w:rsid w:val="00B55FE5"/>
    <w:rsid w:val="00B62524"/>
    <w:rsid w:val="00B638EC"/>
    <w:rsid w:val="00B63ECC"/>
    <w:rsid w:val="00B651B9"/>
    <w:rsid w:val="00B65D36"/>
    <w:rsid w:val="00B67357"/>
    <w:rsid w:val="00B70848"/>
    <w:rsid w:val="00B722D6"/>
    <w:rsid w:val="00B7410C"/>
    <w:rsid w:val="00B74A66"/>
    <w:rsid w:val="00B75E2E"/>
    <w:rsid w:val="00B75E4D"/>
    <w:rsid w:val="00B76544"/>
    <w:rsid w:val="00B774EA"/>
    <w:rsid w:val="00B80223"/>
    <w:rsid w:val="00B80AAF"/>
    <w:rsid w:val="00B80DC5"/>
    <w:rsid w:val="00B833F6"/>
    <w:rsid w:val="00B85303"/>
    <w:rsid w:val="00B855DE"/>
    <w:rsid w:val="00B85B27"/>
    <w:rsid w:val="00B87F5F"/>
    <w:rsid w:val="00B916CF"/>
    <w:rsid w:val="00B92657"/>
    <w:rsid w:val="00B929F2"/>
    <w:rsid w:val="00B94ABE"/>
    <w:rsid w:val="00B96754"/>
    <w:rsid w:val="00BA031B"/>
    <w:rsid w:val="00BA1B20"/>
    <w:rsid w:val="00BA22C8"/>
    <w:rsid w:val="00BA3935"/>
    <w:rsid w:val="00BA4AC6"/>
    <w:rsid w:val="00BA6FDE"/>
    <w:rsid w:val="00BA73FE"/>
    <w:rsid w:val="00BA7F7D"/>
    <w:rsid w:val="00BB026C"/>
    <w:rsid w:val="00BB222E"/>
    <w:rsid w:val="00BB359A"/>
    <w:rsid w:val="00BB3A54"/>
    <w:rsid w:val="00BB3F7D"/>
    <w:rsid w:val="00BB5867"/>
    <w:rsid w:val="00BB59E9"/>
    <w:rsid w:val="00BC211E"/>
    <w:rsid w:val="00BC2417"/>
    <w:rsid w:val="00BC3EB2"/>
    <w:rsid w:val="00BC3F44"/>
    <w:rsid w:val="00BC4AD4"/>
    <w:rsid w:val="00BC4F34"/>
    <w:rsid w:val="00BC539D"/>
    <w:rsid w:val="00BC5C80"/>
    <w:rsid w:val="00BD19EF"/>
    <w:rsid w:val="00BD1AE5"/>
    <w:rsid w:val="00BD25EA"/>
    <w:rsid w:val="00BD45F7"/>
    <w:rsid w:val="00BD4A09"/>
    <w:rsid w:val="00BD6218"/>
    <w:rsid w:val="00BD622A"/>
    <w:rsid w:val="00BD6555"/>
    <w:rsid w:val="00BE37DA"/>
    <w:rsid w:val="00BE4077"/>
    <w:rsid w:val="00BE40EC"/>
    <w:rsid w:val="00BE5889"/>
    <w:rsid w:val="00BE6637"/>
    <w:rsid w:val="00BE6A64"/>
    <w:rsid w:val="00BE6BDC"/>
    <w:rsid w:val="00BF08DE"/>
    <w:rsid w:val="00BF1C05"/>
    <w:rsid w:val="00BF1DD9"/>
    <w:rsid w:val="00BF273B"/>
    <w:rsid w:val="00BF4368"/>
    <w:rsid w:val="00BF44EE"/>
    <w:rsid w:val="00BF4F2B"/>
    <w:rsid w:val="00BF6201"/>
    <w:rsid w:val="00C017EA"/>
    <w:rsid w:val="00C028EC"/>
    <w:rsid w:val="00C02FDC"/>
    <w:rsid w:val="00C039F4"/>
    <w:rsid w:val="00C04853"/>
    <w:rsid w:val="00C06A52"/>
    <w:rsid w:val="00C06C8B"/>
    <w:rsid w:val="00C06CAD"/>
    <w:rsid w:val="00C075AD"/>
    <w:rsid w:val="00C07891"/>
    <w:rsid w:val="00C1309D"/>
    <w:rsid w:val="00C134AF"/>
    <w:rsid w:val="00C156C0"/>
    <w:rsid w:val="00C161EC"/>
    <w:rsid w:val="00C1632A"/>
    <w:rsid w:val="00C16B28"/>
    <w:rsid w:val="00C21E77"/>
    <w:rsid w:val="00C222C4"/>
    <w:rsid w:val="00C2314B"/>
    <w:rsid w:val="00C2368A"/>
    <w:rsid w:val="00C23EC2"/>
    <w:rsid w:val="00C26890"/>
    <w:rsid w:val="00C273A1"/>
    <w:rsid w:val="00C311B7"/>
    <w:rsid w:val="00C31255"/>
    <w:rsid w:val="00C31E8C"/>
    <w:rsid w:val="00C3245D"/>
    <w:rsid w:val="00C34696"/>
    <w:rsid w:val="00C375AC"/>
    <w:rsid w:val="00C379D8"/>
    <w:rsid w:val="00C40E9D"/>
    <w:rsid w:val="00C4128D"/>
    <w:rsid w:val="00C41AA7"/>
    <w:rsid w:val="00C422BA"/>
    <w:rsid w:val="00C4364D"/>
    <w:rsid w:val="00C43AAF"/>
    <w:rsid w:val="00C443DB"/>
    <w:rsid w:val="00C46985"/>
    <w:rsid w:val="00C46A6F"/>
    <w:rsid w:val="00C46CB3"/>
    <w:rsid w:val="00C4794A"/>
    <w:rsid w:val="00C50715"/>
    <w:rsid w:val="00C50E0F"/>
    <w:rsid w:val="00C514D8"/>
    <w:rsid w:val="00C51B7B"/>
    <w:rsid w:val="00C51BBC"/>
    <w:rsid w:val="00C56072"/>
    <w:rsid w:val="00C56195"/>
    <w:rsid w:val="00C57715"/>
    <w:rsid w:val="00C61666"/>
    <w:rsid w:val="00C61CFB"/>
    <w:rsid w:val="00C63C15"/>
    <w:rsid w:val="00C64870"/>
    <w:rsid w:val="00C6553A"/>
    <w:rsid w:val="00C6595E"/>
    <w:rsid w:val="00C67C32"/>
    <w:rsid w:val="00C70937"/>
    <w:rsid w:val="00C718DB"/>
    <w:rsid w:val="00C73122"/>
    <w:rsid w:val="00C74622"/>
    <w:rsid w:val="00C74E84"/>
    <w:rsid w:val="00C762F6"/>
    <w:rsid w:val="00C76778"/>
    <w:rsid w:val="00C771DB"/>
    <w:rsid w:val="00C809A2"/>
    <w:rsid w:val="00C80B8E"/>
    <w:rsid w:val="00C87728"/>
    <w:rsid w:val="00C877FB"/>
    <w:rsid w:val="00C9043B"/>
    <w:rsid w:val="00C93D2B"/>
    <w:rsid w:val="00C93E56"/>
    <w:rsid w:val="00C941AC"/>
    <w:rsid w:val="00C94BFF"/>
    <w:rsid w:val="00C94C0E"/>
    <w:rsid w:val="00C94EC1"/>
    <w:rsid w:val="00C97E9B"/>
    <w:rsid w:val="00CA26BD"/>
    <w:rsid w:val="00CA2C4C"/>
    <w:rsid w:val="00CA31BA"/>
    <w:rsid w:val="00CA479B"/>
    <w:rsid w:val="00CA5320"/>
    <w:rsid w:val="00CA7E46"/>
    <w:rsid w:val="00CB06D7"/>
    <w:rsid w:val="00CB13DE"/>
    <w:rsid w:val="00CB1405"/>
    <w:rsid w:val="00CB16BB"/>
    <w:rsid w:val="00CB18CE"/>
    <w:rsid w:val="00CB1C13"/>
    <w:rsid w:val="00CB3B39"/>
    <w:rsid w:val="00CB3CC4"/>
    <w:rsid w:val="00CB3F5B"/>
    <w:rsid w:val="00CB4C8A"/>
    <w:rsid w:val="00CB4EBB"/>
    <w:rsid w:val="00CC0C15"/>
    <w:rsid w:val="00CC0ECC"/>
    <w:rsid w:val="00CC2730"/>
    <w:rsid w:val="00CC3C46"/>
    <w:rsid w:val="00CC4C02"/>
    <w:rsid w:val="00CD01AD"/>
    <w:rsid w:val="00CD07AC"/>
    <w:rsid w:val="00CD367D"/>
    <w:rsid w:val="00CD3864"/>
    <w:rsid w:val="00CD3940"/>
    <w:rsid w:val="00CD3E08"/>
    <w:rsid w:val="00CD40BA"/>
    <w:rsid w:val="00CD4517"/>
    <w:rsid w:val="00CD605C"/>
    <w:rsid w:val="00CD62D3"/>
    <w:rsid w:val="00CD67F9"/>
    <w:rsid w:val="00CD6908"/>
    <w:rsid w:val="00CE179B"/>
    <w:rsid w:val="00CE2B8C"/>
    <w:rsid w:val="00CE2E8A"/>
    <w:rsid w:val="00CE327A"/>
    <w:rsid w:val="00CE646E"/>
    <w:rsid w:val="00CE6C51"/>
    <w:rsid w:val="00CF09BC"/>
    <w:rsid w:val="00CF39E1"/>
    <w:rsid w:val="00CF460F"/>
    <w:rsid w:val="00CF5090"/>
    <w:rsid w:val="00CF6104"/>
    <w:rsid w:val="00CF6736"/>
    <w:rsid w:val="00CF6AFC"/>
    <w:rsid w:val="00CF6D46"/>
    <w:rsid w:val="00D02014"/>
    <w:rsid w:val="00D0272D"/>
    <w:rsid w:val="00D054FF"/>
    <w:rsid w:val="00D06554"/>
    <w:rsid w:val="00D068A3"/>
    <w:rsid w:val="00D06ECE"/>
    <w:rsid w:val="00D0718D"/>
    <w:rsid w:val="00D0736C"/>
    <w:rsid w:val="00D1048A"/>
    <w:rsid w:val="00D10AAB"/>
    <w:rsid w:val="00D12773"/>
    <w:rsid w:val="00D127D1"/>
    <w:rsid w:val="00D1287B"/>
    <w:rsid w:val="00D1410A"/>
    <w:rsid w:val="00D16708"/>
    <w:rsid w:val="00D173B7"/>
    <w:rsid w:val="00D17902"/>
    <w:rsid w:val="00D17ABF"/>
    <w:rsid w:val="00D2036D"/>
    <w:rsid w:val="00D2069B"/>
    <w:rsid w:val="00D20E14"/>
    <w:rsid w:val="00D22FA1"/>
    <w:rsid w:val="00D23A1D"/>
    <w:rsid w:val="00D258E4"/>
    <w:rsid w:val="00D26D73"/>
    <w:rsid w:val="00D26DBB"/>
    <w:rsid w:val="00D270DA"/>
    <w:rsid w:val="00D27489"/>
    <w:rsid w:val="00D277CE"/>
    <w:rsid w:val="00D27FE1"/>
    <w:rsid w:val="00D30277"/>
    <w:rsid w:val="00D32AF5"/>
    <w:rsid w:val="00D32BBE"/>
    <w:rsid w:val="00D32DE3"/>
    <w:rsid w:val="00D33732"/>
    <w:rsid w:val="00D33FEF"/>
    <w:rsid w:val="00D34984"/>
    <w:rsid w:val="00D357C3"/>
    <w:rsid w:val="00D35834"/>
    <w:rsid w:val="00D36EE0"/>
    <w:rsid w:val="00D40464"/>
    <w:rsid w:val="00D40C84"/>
    <w:rsid w:val="00D40E8D"/>
    <w:rsid w:val="00D40F15"/>
    <w:rsid w:val="00D42328"/>
    <w:rsid w:val="00D439F8"/>
    <w:rsid w:val="00D44A78"/>
    <w:rsid w:val="00D45DF2"/>
    <w:rsid w:val="00D460AB"/>
    <w:rsid w:val="00D4793F"/>
    <w:rsid w:val="00D50277"/>
    <w:rsid w:val="00D52F69"/>
    <w:rsid w:val="00D549E9"/>
    <w:rsid w:val="00D54CD2"/>
    <w:rsid w:val="00D5513F"/>
    <w:rsid w:val="00D55279"/>
    <w:rsid w:val="00D564D9"/>
    <w:rsid w:val="00D56CC7"/>
    <w:rsid w:val="00D627F9"/>
    <w:rsid w:val="00D64D6A"/>
    <w:rsid w:val="00D655A2"/>
    <w:rsid w:val="00D67F71"/>
    <w:rsid w:val="00D703F7"/>
    <w:rsid w:val="00D73792"/>
    <w:rsid w:val="00D73D4A"/>
    <w:rsid w:val="00D75318"/>
    <w:rsid w:val="00D76D4D"/>
    <w:rsid w:val="00D77D27"/>
    <w:rsid w:val="00D82592"/>
    <w:rsid w:val="00D82894"/>
    <w:rsid w:val="00D8394F"/>
    <w:rsid w:val="00D83AD6"/>
    <w:rsid w:val="00D84C1E"/>
    <w:rsid w:val="00D8682E"/>
    <w:rsid w:val="00D86EFD"/>
    <w:rsid w:val="00D9200B"/>
    <w:rsid w:val="00D94501"/>
    <w:rsid w:val="00D95826"/>
    <w:rsid w:val="00D964FD"/>
    <w:rsid w:val="00D979F3"/>
    <w:rsid w:val="00DA017B"/>
    <w:rsid w:val="00DA03E5"/>
    <w:rsid w:val="00DA2758"/>
    <w:rsid w:val="00DA3034"/>
    <w:rsid w:val="00DA4597"/>
    <w:rsid w:val="00DA499E"/>
    <w:rsid w:val="00DA4E62"/>
    <w:rsid w:val="00DA5DD7"/>
    <w:rsid w:val="00DB0033"/>
    <w:rsid w:val="00DB0405"/>
    <w:rsid w:val="00DB23EA"/>
    <w:rsid w:val="00DB24DA"/>
    <w:rsid w:val="00DB342A"/>
    <w:rsid w:val="00DB3B81"/>
    <w:rsid w:val="00DB428F"/>
    <w:rsid w:val="00DB5144"/>
    <w:rsid w:val="00DB5BC4"/>
    <w:rsid w:val="00DB634A"/>
    <w:rsid w:val="00DB6A22"/>
    <w:rsid w:val="00DB6A90"/>
    <w:rsid w:val="00DB6E42"/>
    <w:rsid w:val="00DC0E09"/>
    <w:rsid w:val="00DC107E"/>
    <w:rsid w:val="00DC1BAF"/>
    <w:rsid w:val="00DC411A"/>
    <w:rsid w:val="00DC422B"/>
    <w:rsid w:val="00DC4483"/>
    <w:rsid w:val="00DC517A"/>
    <w:rsid w:val="00DC55BB"/>
    <w:rsid w:val="00DC6022"/>
    <w:rsid w:val="00DC7C86"/>
    <w:rsid w:val="00DC7FAA"/>
    <w:rsid w:val="00DD08B6"/>
    <w:rsid w:val="00DD4DB9"/>
    <w:rsid w:val="00DD574B"/>
    <w:rsid w:val="00DD6050"/>
    <w:rsid w:val="00DD61D4"/>
    <w:rsid w:val="00DD6E80"/>
    <w:rsid w:val="00DD7300"/>
    <w:rsid w:val="00DE10B2"/>
    <w:rsid w:val="00DE1C4B"/>
    <w:rsid w:val="00DE1D4B"/>
    <w:rsid w:val="00DE1F28"/>
    <w:rsid w:val="00DE1FED"/>
    <w:rsid w:val="00DE277C"/>
    <w:rsid w:val="00DE27F3"/>
    <w:rsid w:val="00DE3C88"/>
    <w:rsid w:val="00DE54ED"/>
    <w:rsid w:val="00DE66EC"/>
    <w:rsid w:val="00DF001B"/>
    <w:rsid w:val="00DF0E7A"/>
    <w:rsid w:val="00DF18CE"/>
    <w:rsid w:val="00DF1E2F"/>
    <w:rsid w:val="00DF1E77"/>
    <w:rsid w:val="00DF2904"/>
    <w:rsid w:val="00DF33AF"/>
    <w:rsid w:val="00DF40FA"/>
    <w:rsid w:val="00DF4B58"/>
    <w:rsid w:val="00DF4D86"/>
    <w:rsid w:val="00DF55B3"/>
    <w:rsid w:val="00DF677F"/>
    <w:rsid w:val="00DF7398"/>
    <w:rsid w:val="00E02329"/>
    <w:rsid w:val="00E02616"/>
    <w:rsid w:val="00E02620"/>
    <w:rsid w:val="00E0483C"/>
    <w:rsid w:val="00E052D4"/>
    <w:rsid w:val="00E06C0B"/>
    <w:rsid w:val="00E07639"/>
    <w:rsid w:val="00E1005C"/>
    <w:rsid w:val="00E10786"/>
    <w:rsid w:val="00E1118F"/>
    <w:rsid w:val="00E13D01"/>
    <w:rsid w:val="00E14F5F"/>
    <w:rsid w:val="00E16AB7"/>
    <w:rsid w:val="00E1708D"/>
    <w:rsid w:val="00E17B65"/>
    <w:rsid w:val="00E17CF9"/>
    <w:rsid w:val="00E22341"/>
    <w:rsid w:val="00E2431E"/>
    <w:rsid w:val="00E247D8"/>
    <w:rsid w:val="00E2630C"/>
    <w:rsid w:val="00E27972"/>
    <w:rsid w:val="00E306E1"/>
    <w:rsid w:val="00E31B38"/>
    <w:rsid w:val="00E344BB"/>
    <w:rsid w:val="00E35097"/>
    <w:rsid w:val="00E406BC"/>
    <w:rsid w:val="00E4285C"/>
    <w:rsid w:val="00E43A14"/>
    <w:rsid w:val="00E43E78"/>
    <w:rsid w:val="00E44955"/>
    <w:rsid w:val="00E459E9"/>
    <w:rsid w:val="00E4652F"/>
    <w:rsid w:val="00E468B6"/>
    <w:rsid w:val="00E4706B"/>
    <w:rsid w:val="00E47F7D"/>
    <w:rsid w:val="00E50CE9"/>
    <w:rsid w:val="00E50F6E"/>
    <w:rsid w:val="00E53B2B"/>
    <w:rsid w:val="00E54FC9"/>
    <w:rsid w:val="00E55CFC"/>
    <w:rsid w:val="00E57170"/>
    <w:rsid w:val="00E572D5"/>
    <w:rsid w:val="00E60D50"/>
    <w:rsid w:val="00E614AD"/>
    <w:rsid w:val="00E61940"/>
    <w:rsid w:val="00E62924"/>
    <w:rsid w:val="00E632EF"/>
    <w:rsid w:val="00E6593D"/>
    <w:rsid w:val="00E667AA"/>
    <w:rsid w:val="00E679C0"/>
    <w:rsid w:val="00E70DBA"/>
    <w:rsid w:val="00E71BE9"/>
    <w:rsid w:val="00E71DD1"/>
    <w:rsid w:val="00E71EB3"/>
    <w:rsid w:val="00E7242F"/>
    <w:rsid w:val="00E729D1"/>
    <w:rsid w:val="00E738CA"/>
    <w:rsid w:val="00E73E1E"/>
    <w:rsid w:val="00E73FE1"/>
    <w:rsid w:val="00E74632"/>
    <w:rsid w:val="00E824A9"/>
    <w:rsid w:val="00E83F8D"/>
    <w:rsid w:val="00E8452F"/>
    <w:rsid w:val="00E860E7"/>
    <w:rsid w:val="00E8639F"/>
    <w:rsid w:val="00E86497"/>
    <w:rsid w:val="00E86E4C"/>
    <w:rsid w:val="00E9242E"/>
    <w:rsid w:val="00E931D6"/>
    <w:rsid w:val="00E938CA"/>
    <w:rsid w:val="00E954C1"/>
    <w:rsid w:val="00E95FB8"/>
    <w:rsid w:val="00EA055E"/>
    <w:rsid w:val="00EA2AD4"/>
    <w:rsid w:val="00EA3151"/>
    <w:rsid w:val="00EA32C5"/>
    <w:rsid w:val="00EA4F41"/>
    <w:rsid w:val="00EA5270"/>
    <w:rsid w:val="00EA6719"/>
    <w:rsid w:val="00EA7160"/>
    <w:rsid w:val="00EA79FE"/>
    <w:rsid w:val="00EB00F2"/>
    <w:rsid w:val="00EB20C6"/>
    <w:rsid w:val="00EB2D5D"/>
    <w:rsid w:val="00EB3808"/>
    <w:rsid w:val="00EB3CC5"/>
    <w:rsid w:val="00EB3FA9"/>
    <w:rsid w:val="00EB53EA"/>
    <w:rsid w:val="00EB60DC"/>
    <w:rsid w:val="00EB7812"/>
    <w:rsid w:val="00EC054D"/>
    <w:rsid w:val="00EC1055"/>
    <w:rsid w:val="00EC126E"/>
    <w:rsid w:val="00EC1714"/>
    <w:rsid w:val="00EC192C"/>
    <w:rsid w:val="00EC2291"/>
    <w:rsid w:val="00EC4046"/>
    <w:rsid w:val="00EC5885"/>
    <w:rsid w:val="00EC5FBA"/>
    <w:rsid w:val="00ED0E3F"/>
    <w:rsid w:val="00ED195B"/>
    <w:rsid w:val="00ED26B0"/>
    <w:rsid w:val="00ED3304"/>
    <w:rsid w:val="00ED3486"/>
    <w:rsid w:val="00ED495E"/>
    <w:rsid w:val="00ED4E08"/>
    <w:rsid w:val="00ED5195"/>
    <w:rsid w:val="00ED5FCC"/>
    <w:rsid w:val="00ED6756"/>
    <w:rsid w:val="00EE0D8F"/>
    <w:rsid w:val="00EE112A"/>
    <w:rsid w:val="00EE14F3"/>
    <w:rsid w:val="00EE2177"/>
    <w:rsid w:val="00EE22B5"/>
    <w:rsid w:val="00EE2FB3"/>
    <w:rsid w:val="00EE4EBC"/>
    <w:rsid w:val="00EE7A87"/>
    <w:rsid w:val="00EE7FDC"/>
    <w:rsid w:val="00EF0273"/>
    <w:rsid w:val="00EF03C3"/>
    <w:rsid w:val="00EF0FD1"/>
    <w:rsid w:val="00EF1597"/>
    <w:rsid w:val="00F00383"/>
    <w:rsid w:val="00F01840"/>
    <w:rsid w:val="00F02668"/>
    <w:rsid w:val="00F03272"/>
    <w:rsid w:val="00F03981"/>
    <w:rsid w:val="00F0727C"/>
    <w:rsid w:val="00F077BC"/>
    <w:rsid w:val="00F07E44"/>
    <w:rsid w:val="00F12D56"/>
    <w:rsid w:val="00F131B6"/>
    <w:rsid w:val="00F142AA"/>
    <w:rsid w:val="00F15438"/>
    <w:rsid w:val="00F15BFE"/>
    <w:rsid w:val="00F17511"/>
    <w:rsid w:val="00F17E65"/>
    <w:rsid w:val="00F20B73"/>
    <w:rsid w:val="00F23127"/>
    <w:rsid w:val="00F24B17"/>
    <w:rsid w:val="00F26059"/>
    <w:rsid w:val="00F262CF"/>
    <w:rsid w:val="00F27904"/>
    <w:rsid w:val="00F27F96"/>
    <w:rsid w:val="00F30E1C"/>
    <w:rsid w:val="00F335C7"/>
    <w:rsid w:val="00F335F4"/>
    <w:rsid w:val="00F346A7"/>
    <w:rsid w:val="00F35B6A"/>
    <w:rsid w:val="00F36534"/>
    <w:rsid w:val="00F412C4"/>
    <w:rsid w:val="00F42C62"/>
    <w:rsid w:val="00F438DB"/>
    <w:rsid w:val="00F45E34"/>
    <w:rsid w:val="00F462BE"/>
    <w:rsid w:val="00F50593"/>
    <w:rsid w:val="00F5095B"/>
    <w:rsid w:val="00F52FCE"/>
    <w:rsid w:val="00F5313F"/>
    <w:rsid w:val="00F5351E"/>
    <w:rsid w:val="00F536B4"/>
    <w:rsid w:val="00F536F1"/>
    <w:rsid w:val="00F55996"/>
    <w:rsid w:val="00F5782D"/>
    <w:rsid w:val="00F61D51"/>
    <w:rsid w:val="00F61FE9"/>
    <w:rsid w:val="00F62DB0"/>
    <w:rsid w:val="00F65085"/>
    <w:rsid w:val="00F7037C"/>
    <w:rsid w:val="00F7223A"/>
    <w:rsid w:val="00F727D6"/>
    <w:rsid w:val="00F72BDC"/>
    <w:rsid w:val="00F7319B"/>
    <w:rsid w:val="00F741E3"/>
    <w:rsid w:val="00F74C74"/>
    <w:rsid w:val="00F75E04"/>
    <w:rsid w:val="00F76FA3"/>
    <w:rsid w:val="00F81BFB"/>
    <w:rsid w:val="00F86229"/>
    <w:rsid w:val="00F86B78"/>
    <w:rsid w:val="00F915A6"/>
    <w:rsid w:val="00F9181C"/>
    <w:rsid w:val="00F92458"/>
    <w:rsid w:val="00F94D05"/>
    <w:rsid w:val="00F95891"/>
    <w:rsid w:val="00F95D15"/>
    <w:rsid w:val="00FA0579"/>
    <w:rsid w:val="00FA356F"/>
    <w:rsid w:val="00FA4B4E"/>
    <w:rsid w:val="00FA4ECB"/>
    <w:rsid w:val="00FA5F96"/>
    <w:rsid w:val="00FA670C"/>
    <w:rsid w:val="00FA6BC4"/>
    <w:rsid w:val="00FA79AB"/>
    <w:rsid w:val="00FB089A"/>
    <w:rsid w:val="00FB10E5"/>
    <w:rsid w:val="00FB2546"/>
    <w:rsid w:val="00FB3DCC"/>
    <w:rsid w:val="00FB3E71"/>
    <w:rsid w:val="00FB4B5A"/>
    <w:rsid w:val="00FB6C2E"/>
    <w:rsid w:val="00FB6F06"/>
    <w:rsid w:val="00FB7471"/>
    <w:rsid w:val="00FC1414"/>
    <w:rsid w:val="00FC1735"/>
    <w:rsid w:val="00FC33CD"/>
    <w:rsid w:val="00FC3F3D"/>
    <w:rsid w:val="00FC444C"/>
    <w:rsid w:val="00FC71D3"/>
    <w:rsid w:val="00FD05F3"/>
    <w:rsid w:val="00FD0618"/>
    <w:rsid w:val="00FD0725"/>
    <w:rsid w:val="00FD1E73"/>
    <w:rsid w:val="00FD3788"/>
    <w:rsid w:val="00FD387B"/>
    <w:rsid w:val="00FD3C07"/>
    <w:rsid w:val="00FD3D1C"/>
    <w:rsid w:val="00FD41B2"/>
    <w:rsid w:val="00FD4AD5"/>
    <w:rsid w:val="00FE04B1"/>
    <w:rsid w:val="00FE154C"/>
    <w:rsid w:val="00FE3477"/>
    <w:rsid w:val="00FE3A4D"/>
    <w:rsid w:val="00FE3CE9"/>
    <w:rsid w:val="00FE4903"/>
    <w:rsid w:val="00FE4CBD"/>
    <w:rsid w:val="00FE4DE1"/>
    <w:rsid w:val="00FF2D89"/>
    <w:rsid w:val="00FF4269"/>
    <w:rsid w:val="00FF42EE"/>
    <w:rsid w:val="00FF77FA"/>
    <w:rsid w:val="1741F9B9"/>
    <w:rsid w:val="2792A57E"/>
    <w:rsid w:val="412D7FCE"/>
    <w:rsid w:val="4182ACEB"/>
    <w:rsid w:val="5C83DF54"/>
    <w:rsid w:val="5F932F01"/>
    <w:rsid w:val="7F2763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11594E"/>
    <w:pPr>
      <w:keepNext/>
      <w:keepLines/>
      <w:numPr>
        <w:numId w:val="5"/>
      </w:numPr>
      <w:spacing w:before="0" w:after="60"/>
      <w:outlineLvl w:val="0"/>
    </w:pPr>
    <w:rPr>
      <w:b/>
      <w:i/>
      <w:iCs/>
      <w:color w:val="808080" w:themeColor="background1" w:themeShade="80"/>
    </w:rPr>
  </w:style>
  <w:style w:type="paragraph" w:styleId="Ttulo2">
    <w:name w:val="heading 2"/>
    <w:basedOn w:val="Normal"/>
    <w:next w:val="Normal"/>
    <w:link w:val="Ttulo2Car"/>
    <w:autoRedefine/>
    <w:uiPriority w:val="9"/>
    <w:unhideWhenUsed/>
    <w:qFormat/>
    <w:rsid w:val="00CC2730"/>
    <w:pPr>
      <w:keepNext/>
      <w:keepLines/>
      <w:spacing w:after="360" w:line="240" w:lineRule="auto"/>
      <w:outlineLvl w:val="1"/>
    </w:pPr>
    <w:rPr>
      <w:rFonts w:cstheme="majorBidi"/>
      <w:b/>
      <w:bCs/>
      <w:color w:val="365F91" w:themeColor="accent1" w:themeShade="BF"/>
      <w:sz w:val="32"/>
      <w:szCs w:val="32"/>
    </w:rPr>
  </w:style>
  <w:style w:type="paragraph" w:styleId="Ttulo3">
    <w:name w:val="heading 3"/>
    <w:basedOn w:val="Normal"/>
    <w:next w:val="Normal"/>
    <w:link w:val="Ttulo3Car"/>
    <w:autoRedefine/>
    <w:uiPriority w:val="9"/>
    <w:unhideWhenUsed/>
    <w:qFormat/>
    <w:rsid w:val="001C7C5F"/>
    <w:pPr>
      <w:keepNext/>
      <w:keepLines/>
      <w:numPr>
        <w:ilvl w:val="2"/>
        <w:numId w:val="2"/>
      </w:numPr>
      <w:spacing w:after="360" w:line="240" w:lineRule="auto"/>
      <w:outlineLvl w:val="2"/>
    </w:pPr>
    <w:rPr>
      <w:rFonts w:cstheme="majorBidi"/>
      <w:color w:val="365F91" w:themeColor="accent1" w:themeShade="BF"/>
      <w:sz w:val="26"/>
      <w:szCs w:val="24"/>
      <w:shd w:val="clear" w:color="auto" w:fill="FFFFFF"/>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11594E"/>
    <w:rPr>
      <w:rFonts w:ascii="Arial" w:hAnsi="Arial"/>
      <w:b/>
      <w:i/>
      <w:iCs/>
      <w:color w:val="808080" w:themeColor="background1" w:themeShade="80"/>
      <w:sz w:val="24"/>
    </w:rPr>
  </w:style>
  <w:style w:type="character" w:customStyle="1" w:styleId="Ttulo2Car">
    <w:name w:val="Título 2 Car"/>
    <w:basedOn w:val="Fuentedeprrafopredeter"/>
    <w:link w:val="Ttulo2"/>
    <w:uiPriority w:val="9"/>
    <w:rsid w:val="00CC2730"/>
    <w:rPr>
      <w:rFonts w:ascii="Arial" w:hAnsi="Arial" w:cstheme="majorBidi"/>
      <w:b/>
      <w:bCs/>
      <w:color w:val="365F91" w:themeColor="accent1" w:themeShade="BF"/>
      <w:sz w:val="32"/>
      <w:szCs w:val="32"/>
    </w:rPr>
  </w:style>
  <w:style w:type="paragraph" w:styleId="Prrafodelista">
    <w:name w:val="List Paragraph"/>
    <w:aliases w:val="Lista viñetas,Párrafo,Lista viñeta,Ha,List Paragraph1,lp1,Párrafo de lista1,Bullet List,FooterText,Use Case List Paragraph,titulo 3,numbered,Paragraphe de liste1,Bulletr List Paragraph,Foot,列出段落,列出段落1,List Paragraph2,List Paragraph21,HO"/>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7C5F"/>
    <w:rPr>
      <w:rFonts w:ascii="Arial"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qFormat/>
    <w:rsid w:val="006B4ED8"/>
    <w:rPr>
      <w:b/>
      <w:bCs/>
    </w:rPr>
  </w:style>
  <w:style w:type="character" w:customStyle="1" w:styleId="PrrafodelistaCar">
    <w:name w:val="Párrafo de lista Car"/>
    <w:aliases w:val="Lista viñetas Car,Párrafo Car,Lista viñeta Car,Ha Car,List Paragraph1 Car,lp1 Car,Párrafo de lista1 Car,Bullet List Car,FooterText Car,Use Case List Paragraph Car,titulo 3 Car,numbered Car,Paragraphe de liste1 Car,Foot Car,列出段落 Car"/>
    <w:basedOn w:val="Fuentedeprrafopredeter"/>
    <w:link w:val="Prrafodelista"/>
    <w:uiPriority w:val="34"/>
    <w:qFormat/>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hAnsi="Arial"/>
      <w:b/>
      <w:i/>
      <w:iCs/>
      <w:color w:val="808080" w:themeColor="background1" w:themeShade="80"/>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Fuentedeprrafopredeter"/>
    <w:rsid w:val="00752C87"/>
  </w:style>
  <w:style w:type="character" w:styleId="Hipervnculovisitado">
    <w:name w:val="FollowedHyperlink"/>
    <w:basedOn w:val="Fuentedeprrafopredeter"/>
    <w:uiPriority w:val="99"/>
    <w:semiHidden/>
    <w:unhideWhenUsed/>
    <w:rsid w:val="007C5F89"/>
    <w:rPr>
      <w:color w:val="800080" w:themeColor="followedHyperlink"/>
      <w:u w:val="single"/>
    </w:rPr>
  </w:style>
  <w:style w:type="paragraph" w:customStyle="1" w:styleId="paragraph">
    <w:name w:val="paragraph"/>
    <w:basedOn w:val="Normal"/>
    <w:rsid w:val="00204CB3"/>
    <w:pPr>
      <w:spacing w:before="100" w:beforeAutospacing="1" w:after="100" w:afterAutospacing="1" w:line="240" w:lineRule="auto"/>
    </w:pPr>
    <w:rPr>
      <w:rFonts w:ascii="Times New Roman" w:eastAsia="Times New Roman" w:hAnsi="Times New Roman" w:cs="Times New Roman"/>
      <w:szCs w:val="24"/>
      <w:lang w:eastAsia="es-CO"/>
    </w:rPr>
  </w:style>
  <w:style w:type="paragraph" w:styleId="Textonotaalfinal">
    <w:name w:val="endnote text"/>
    <w:basedOn w:val="Normal"/>
    <w:link w:val="TextonotaalfinalCar"/>
    <w:uiPriority w:val="99"/>
    <w:semiHidden/>
    <w:unhideWhenUsed/>
    <w:rsid w:val="00C0789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891"/>
    <w:rPr>
      <w:rFonts w:ascii="Arial" w:hAnsi="Arial"/>
      <w:sz w:val="20"/>
      <w:szCs w:val="20"/>
    </w:rPr>
  </w:style>
  <w:style w:type="character" w:styleId="Refdenotaalfinal">
    <w:name w:val="endnote reference"/>
    <w:basedOn w:val="Fuentedeprrafopredeter"/>
    <w:uiPriority w:val="99"/>
    <w:semiHidden/>
    <w:unhideWhenUsed/>
    <w:rsid w:val="00C07891"/>
    <w:rPr>
      <w:vertAlign w:val="superscript"/>
    </w:rPr>
  </w:style>
  <w:style w:type="character" w:customStyle="1" w:styleId="ui-provider">
    <w:name w:val="ui-provider"/>
    <w:basedOn w:val="Fuentedeprrafopredeter"/>
    <w:rsid w:val="006501CC"/>
  </w:style>
  <w:style w:type="paragraph" w:styleId="Revisin">
    <w:name w:val="Revision"/>
    <w:hidden/>
    <w:uiPriority w:val="99"/>
    <w:semiHidden/>
    <w:rsid w:val="00027B8F"/>
    <w:pPr>
      <w:spacing w:after="0" w:line="240" w:lineRule="auto"/>
    </w:pPr>
    <w:rPr>
      <w:rFonts w:ascii="Arial" w:hAnsi="Arial"/>
      <w:sz w:val="24"/>
    </w:rPr>
  </w:style>
  <w:style w:type="table" w:styleId="Tablanormal5">
    <w:name w:val="Plain Table 5"/>
    <w:basedOn w:val="Tablanormal"/>
    <w:uiPriority w:val="45"/>
    <w:rsid w:val="00BB02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6368">
      <w:bodyDiv w:val="1"/>
      <w:marLeft w:val="0"/>
      <w:marRight w:val="0"/>
      <w:marTop w:val="0"/>
      <w:marBottom w:val="0"/>
      <w:divBdr>
        <w:top w:val="none" w:sz="0" w:space="0" w:color="auto"/>
        <w:left w:val="none" w:sz="0" w:space="0" w:color="auto"/>
        <w:bottom w:val="none" w:sz="0" w:space="0" w:color="auto"/>
        <w:right w:val="none" w:sz="0" w:space="0" w:color="auto"/>
      </w:divBdr>
      <w:divsChild>
        <w:div w:id="2120251611">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28055244">
      <w:bodyDiv w:val="1"/>
      <w:marLeft w:val="0"/>
      <w:marRight w:val="0"/>
      <w:marTop w:val="0"/>
      <w:marBottom w:val="0"/>
      <w:divBdr>
        <w:top w:val="none" w:sz="0" w:space="0" w:color="auto"/>
        <w:left w:val="none" w:sz="0" w:space="0" w:color="auto"/>
        <w:bottom w:val="none" w:sz="0" w:space="0" w:color="auto"/>
        <w:right w:val="none" w:sz="0" w:space="0" w:color="auto"/>
      </w:divBdr>
    </w:div>
    <w:div w:id="648900722">
      <w:bodyDiv w:val="1"/>
      <w:marLeft w:val="0"/>
      <w:marRight w:val="0"/>
      <w:marTop w:val="0"/>
      <w:marBottom w:val="0"/>
      <w:divBdr>
        <w:top w:val="none" w:sz="0" w:space="0" w:color="auto"/>
        <w:left w:val="none" w:sz="0" w:space="0" w:color="auto"/>
        <w:bottom w:val="none" w:sz="0" w:space="0" w:color="auto"/>
        <w:right w:val="none" w:sz="0" w:space="0" w:color="auto"/>
      </w:divBdr>
    </w:div>
    <w:div w:id="1073433814">
      <w:bodyDiv w:val="1"/>
      <w:marLeft w:val="0"/>
      <w:marRight w:val="0"/>
      <w:marTop w:val="0"/>
      <w:marBottom w:val="0"/>
      <w:divBdr>
        <w:top w:val="none" w:sz="0" w:space="0" w:color="auto"/>
        <w:left w:val="none" w:sz="0" w:space="0" w:color="auto"/>
        <w:bottom w:val="none" w:sz="0" w:space="0" w:color="auto"/>
        <w:right w:val="none" w:sz="0" w:space="0" w:color="auto"/>
      </w:divBdr>
    </w:div>
    <w:div w:id="1378318304">
      <w:bodyDiv w:val="1"/>
      <w:marLeft w:val="0"/>
      <w:marRight w:val="0"/>
      <w:marTop w:val="0"/>
      <w:marBottom w:val="0"/>
      <w:divBdr>
        <w:top w:val="none" w:sz="0" w:space="0" w:color="auto"/>
        <w:left w:val="none" w:sz="0" w:space="0" w:color="auto"/>
        <w:bottom w:val="none" w:sz="0" w:space="0" w:color="auto"/>
        <w:right w:val="none" w:sz="0" w:space="0" w:color="auto"/>
      </w:divBdr>
    </w:div>
    <w:div w:id="1561286909">
      <w:bodyDiv w:val="1"/>
      <w:marLeft w:val="0"/>
      <w:marRight w:val="0"/>
      <w:marTop w:val="0"/>
      <w:marBottom w:val="0"/>
      <w:divBdr>
        <w:top w:val="none" w:sz="0" w:space="0" w:color="auto"/>
        <w:left w:val="none" w:sz="0" w:space="0" w:color="auto"/>
        <w:bottom w:val="none" w:sz="0" w:space="0" w:color="auto"/>
        <w:right w:val="none" w:sz="0" w:space="0" w:color="auto"/>
      </w:divBdr>
    </w:div>
    <w:div w:id="1927575564">
      <w:bodyDiv w:val="1"/>
      <w:marLeft w:val="0"/>
      <w:marRight w:val="0"/>
      <w:marTop w:val="0"/>
      <w:marBottom w:val="0"/>
      <w:divBdr>
        <w:top w:val="none" w:sz="0" w:space="0" w:color="auto"/>
        <w:left w:val="none" w:sz="0" w:space="0" w:color="auto"/>
        <w:bottom w:val="none" w:sz="0" w:space="0" w:color="auto"/>
        <w:right w:val="none" w:sz="0" w:space="0" w:color="auto"/>
      </w:divBdr>
    </w:div>
    <w:div w:id="2031636116">
      <w:bodyDiv w:val="1"/>
      <w:marLeft w:val="0"/>
      <w:marRight w:val="0"/>
      <w:marTop w:val="0"/>
      <w:marBottom w:val="0"/>
      <w:divBdr>
        <w:top w:val="none" w:sz="0" w:space="0" w:color="auto"/>
        <w:left w:val="none" w:sz="0" w:space="0" w:color="auto"/>
        <w:bottom w:val="none" w:sz="0" w:space="0" w:color="auto"/>
        <w:right w:val="none" w:sz="0" w:space="0" w:color="auto"/>
      </w:divBdr>
    </w:div>
    <w:div w:id="21293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s.supersalud.gov.co/PortalWeb/planeacion/OtrosDocumentosPlaneacin/Diagnostico-Capacidades-Entorno-Supersalud-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EA308E952E5F44DAD2FEB70C66ABC36" ma:contentTypeVersion="10" ma:contentTypeDescription="Crear nuevo documento." ma:contentTypeScope="" ma:versionID="075f09969b0327d08ca0bb1ae2d88c9c">
  <xsd:schema xmlns:xsd="http://www.w3.org/2001/XMLSchema" xmlns:xs="http://www.w3.org/2001/XMLSchema" xmlns:p="http://schemas.microsoft.com/office/2006/metadata/properties" xmlns:ns3="ff0c358f-0aa8-4457-9a41-108126f81a6c" targetNamespace="http://schemas.microsoft.com/office/2006/metadata/properties" ma:root="true" ma:fieldsID="eebf22dd74dd55126248760d6e33f237" ns3:_="">
    <xsd:import namespace="ff0c358f-0aa8-4457-9a41-108126f81a6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358f-0aa8-4457-9a41-108126f81a6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ff0c358f-0aa8-4457-9a41-108126f81a6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3.xml><?xml version="1.0" encoding="utf-8"?>
<ds:datastoreItem xmlns:ds="http://schemas.openxmlformats.org/officeDocument/2006/customXml" ds:itemID="{33DD69BC-0829-4002-877A-4CEF5989064B}">
  <ds:schemaRefs>
    <ds:schemaRef ds:uri="http://schemas.openxmlformats.org/officeDocument/2006/bibliography"/>
  </ds:schemaRefs>
</ds:datastoreItem>
</file>

<file path=customXml/itemProps4.xml><?xml version="1.0" encoding="utf-8"?>
<ds:datastoreItem xmlns:ds="http://schemas.openxmlformats.org/officeDocument/2006/customXml" ds:itemID="{963C9D94-7D66-4724-8C35-817B2510B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c358f-0aa8-4457-9a41-108126f81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ff0c358f-0aa8-4457-9a41-108126f81a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4030</Words>
  <Characters>24666</Characters>
  <Application>Microsoft Office Word</Application>
  <DocSecurity>0</DocSecurity>
  <Lines>986</Lines>
  <Paragraphs>315</Paragraphs>
  <ScaleCrop>false</ScaleCrop>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Política Institucional - SIG</dc:title>
  <dc:subject>Subtítulo o descripción del manual</dc:subject>
  <dc:creator>jlozano@supersalud.gov.co</dc:creator>
  <cp:keywords>Plantilla Política Institucional - SIG</cp:keywords>
  <dc:description/>
  <cp:lastModifiedBy>Marcela Andrea Garcia Guerrero</cp:lastModifiedBy>
  <cp:revision>5</cp:revision>
  <cp:lastPrinted>2021-12-09T20:17:00Z</cp:lastPrinted>
  <dcterms:created xsi:type="dcterms:W3CDTF">2026-04-07T13:22:00Z</dcterms:created>
  <dcterms:modified xsi:type="dcterms:W3CDTF">2026-04-07T13:33:00Z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2b37a4b5-af86-46de-8db5-cc35de1462e0</vt:lpwstr>
  </property>
  <property fmtid="{D5CDD505-2E9C-101B-9397-08002B2CF9AE}" pid="3" name="ContentTypeId">
    <vt:lpwstr>0x0101005EA308E952E5F44DAD2FEB70C66ABC36</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